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225" w:rsidRPr="00726225" w:rsidRDefault="00726225" w:rsidP="00684B8F">
      <w:pPr>
        <w:jc w:val="center"/>
        <w:rPr>
          <w:bCs/>
          <w:sz w:val="24"/>
          <w:szCs w:val="24"/>
        </w:rPr>
      </w:pPr>
    </w:p>
    <w:p w:rsidR="00CB159B" w:rsidRDefault="00CB159B" w:rsidP="00DE5E95">
      <w:pPr>
        <w:jc w:val="center"/>
        <w:rPr>
          <w:b/>
          <w:sz w:val="32"/>
          <w:szCs w:val="32"/>
          <w:u w:val="single"/>
        </w:rPr>
      </w:pPr>
      <w:r>
        <w:rPr>
          <w:b/>
          <w:sz w:val="32"/>
          <w:szCs w:val="32"/>
          <w:u w:val="single"/>
        </w:rPr>
        <w:t xml:space="preserve">The </w:t>
      </w:r>
      <w:r w:rsidRPr="002E56D2">
        <w:rPr>
          <w:b/>
          <w:sz w:val="32"/>
          <w:szCs w:val="32"/>
          <w:u w:val="single"/>
        </w:rPr>
        <w:t xml:space="preserve">Missouri Merchandising Practices Act </w:t>
      </w:r>
      <w:r>
        <w:rPr>
          <w:b/>
          <w:sz w:val="32"/>
          <w:szCs w:val="32"/>
          <w:u w:val="single"/>
        </w:rPr>
        <w:t>Under Attack:</w:t>
      </w:r>
    </w:p>
    <w:p w:rsidR="00BC1864" w:rsidRDefault="00CB159B" w:rsidP="00DE5E95">
      <w:pPr>
        <w:jc w:val="center"/>
        <w:rPr>
          <w:b/>
          <w:sz w:val="32"/>
          <w:szCs w:val="32"/>
          <w:u w:val="single"/>
        </w:rPr>
      </w:pPr>
      <w:r>
        <w:rPr>
          <w:b/>
          <w:sz w:val="32"/>
          <w:szCs w:val="32"/>
          <w:u w:val="single"/>
        </w:rPr>
        <w:t>On t</w:t>
      </w:r>
      <w:r w:rsidR="00A04965" w:rsidRPr="002E56D2">
        <w:rPr>
          <w:b/>
          <w:sz w:val="32"/>
          <w:szCs w:val="32"/>
          <w:u w:val="single"/>
        </w:rPr>
        <w:t>he</w:t>
      </w:r>
      <w:r>
        <w:rPr>
          <w:b/>
          <w:sz w:val="32"/>
          <w:szCs w:val="32"/>
          <w:u w:val="single"/>
        </w:rPr>
        <w:t xml:space="preserve"> Act’s</w:t>
      </w:r>
      <w:r w:rsidR="00A04965" w:rsidRPr="002E56D2">
        <w:rPr>
          <w:b/>
          <w:sz w:val="32"/>
          <w:szCs w:val="32"/>
          <w:u w:val="single"/>
        </w:rPr>
        <w:t xml:space="preserve"> </w:t>
      </w:r>
      <w:r w:rsidR="00684B8F" w:rsidRPr="002E56D2">
        <w:rPr>
          <w:b/>
          <w:sz w:val="32"/>
          <w:szCs w:val="32"/>
          <w:u w:val="single"/>
        </w:rPr>
        <w:t xml:space="preserve">History, Evolution, and </w:t>
      </w:r>
      <w:r>
        <w:rPr>
          <w:b/>
          <w:sz w:val="32"/>
          <w:szCs w:val="32"/>
          <w:u w:val="single"/>
        </w:rPr>
        <w:t>Continuing Importance</w:t>
      </w:r>
    </w:p>
    <w:p w:rsidR="00807D55" w:rsidRDefault="00807D55" w:rsidP="00684B8F">
      <w:pPr>
        <w:jc w:val="center"/>
        <w:rPr>
          <w:b/>
          <w:sz w:val="32"/>
          <w:szCs w:val="32"/>
          <w:u w:val="single"/>
        </w:rPr>
      </w:pPr>
    </w:p>
    <w:p w:rsidR="008E7776" w:rsidRPr="008E7776" w:rsidRDefault="008E7776" w:rsidP="00684B8F">
      <w:pPr>
        <w:jc w:val="center"/>
        <w:rPr>
          <w:bCs/>
          <w:sz w:val="32"/>
          <w:szCs w:val="32"/>
        </w:rPr>
      </w:pPr>
      <w:r w:rsidRPr="008E7776">
        <w:rPr>
          <w:bCs/>
          <w:sz w:val="32"/>
          <w:szCs w:val="32"/>
        </w:rPr>
        <w:t>Andrew Taylor</w:t>
      </w:r>
      <w:r w:rsidRPr="00A748E1">
        <w:rPr>
          <w:rStyle w:val="FootnoteReference"/>
          <w:bCs/>
          <w:sz w:val="24"/>
          <w:szCs w:val="24"/>
        </w:rPr>
        <w:footnoteReference w:id="1"/>
      </w:r>
    </w:p>
    <w:p w:rsidR="001E75D3" w:rsidRDefault="008F44CE" w:rsidP="00684B8F">
      <w:pPr>
        <w:jc w:val="center"/>
        <w:rPr>
          <w:sz w:val="28"/>
          <w:szCs w:val="28"/>
        </w:rPr>
      </w:pPr>
      <w:r>
        <w:rPr>
          <w:sz w:val="28"/>
          <w:szCs w:val="28"/>
        </w:rPr>
        <w:t>March 2020</w:t>
      </w:r>
    </w:p>
    <w:p w:rsidR="00F64DF4" w:rsidRDefault="00F64DF4" w:rsidP="00684B8F">
      <w:pPr>
        <w:jc w:val="center"/>
        <w:rPr>
          <w:b/>
          <w:sz w:val="28"/>
          <w:szCs w:val="28"/>
          <w:u w:val="single"/>
        </w:rPr>
      </w:pPr>
    </w:p>
    <w:p w:rsidR="00684B8F" w:rsidRPr="002E56D2" w:rsidRDefault="00684B8F" w:rsidP="00684B8F">
      <w:pPr>
        <w:jc w:val="center"/>
        <w:rPr>
          <w:b/>
          <w:sz w:val="28"/>
          <w:szCs w:val="28"/>
        </w:rPr>
      </w:pPr>
      <w:r w:rsidRPr="002E56D2">
        <w:rPr>
          <w:b/>
          <w:sz w:val="28"/>
          <w:szCs w:val="28"/>
        </w:rPr>
        <w:t xml:space="preserve">1. Why Was the Merchandising Practices Act Enacted? </w:t>
      </w:r>
    </w:p>
    <w:p w:rsidR="00684B8F" w:rsidRPr="002E56D2" w:rsidRDefault="00684B8F" w:rsidP="00684B8F">
      <w:pPr>
        <w:jc w:val="center"/>
        <w:rPr>
          <w:b/>
          <w:sz w:val="28"/>
          <w:szCs w:val="28"/>
          <w:u w:val="single"/>
        </w:rPr>
      </w:pPr>
      <w:r w:rsidRPr="002E56D2">
        <w:rPr>
          <w:b/>
          <w:sz w:val="28"/>
          <w:szCs w:val="28"/>
          <w:u w:val="single"/>
        </w:rPr>
        <w:t>A Brief History of the Act.</w:t>
      </w:r>
    </w:p>
    <w:p w:rsidR="00684B8F" w:rsidRDefault="00684B8F" w:rsidP="00684B8F">
      <w:pPr>
        <w:jc w:val="center"/>
        <w:rPr>
          <w:b/>
          <w:sz w:val="24"/>
          <w:szCs w:val="24"/>
          <w:u w:val="single"/>
        </w:rPr>
      </w:pPr>
    </w:p>
    <w:p w:rsidR="00684B8F" w:rsidRDefault="00A83D60" w:rsidP="00A83D60">
      <w:pPr>
        <w:spacing w:line="360" w:lineRule="auto"/>
        <w:rPr>
          <w:sz w:val="24"/>
          <w:szCs w:val="24"/>
        </w:rPr>
      </w:pPr>
      <w:r>
        <w:rPr>
          <w:sz w:val="24"/>
          <w:szCs w:val="24"/>
        </w:rPr>
        <w:tab/>
      </w:r>
      <w:r w:rsidR="00684B8F">
        <w:rPr>
          <w:sz w:val="24"/>
          <w:szCs w:val="24"/>
        </w:rPr>
        <w:t>The Missouri Merchandising Practices Act (“M</w:t>
      </w:r>
      <w:r w:rsidR="00807D55">
        <w:rPr>
          <w:sz w:val="24"/>
          <w:szCs w:val="24"/>
        </w:rPr>
        <w:t>M</w:t>
      </w:r>
      <w:r w:rsidR="00684B8F">
        <w:rPr>
          <w:sz w:val="24"/>
          <w:szCs w:val="24"/>
        </w:rPr>
        <w:t>PA”</w:t>
      </w:r>
      <w:r w:rsidR="00A4570B">
        <w:rPr>
          <w:sz w:val="24"/>
          <w:szCs w:val="24"/>
        </w:rPr>
        <w:t xml:space="preserve"> or “Act”)</w:t>
      </w:r>
      <w:r w:rsidR="00684B8F">
        <w:rPr>
          <w:sz w:val="24"/>
          <w:szCs w:val="24"/>
        </w:rPr>
        <w:t xml:space="preserve"> </w:t>
      </w:r>
      <w:r>
        <w:rPr>
          <w:sz w:val="24"/>
          <w:szCs w:val="24"/>
        </w:rPr>
        <w:t>was e</w:t>
      </w:r>
      <w:r w:rsidR="00D0245F">
        <w:rPr>
          <w:sz w:val="24"/>
          <w:szCs w:val="24"/>
        </w:rPr>
        <w:t>nacted in 1967.</w:t>
      </w:r>
      <w:r w:rsidR="00D0245F">
        <w:rPr>
          <w:rStyle w:val="FootnoteReference"/>
          <w:sz w:val="24"/>
          <w:szCs w:val="24"/>
        </w:rPr>
        <w:footnoteReference w:id="2"/>
      </w:r>
      <w:r w:rsidR="00D0245F">
        <w:rPr>
          <w:sz w:val="24"/>
          <w:szCs w:val="24"/>
        </w:rPr>
        <w:t xml:space="preserve"> Its fundamental purpose then, as it is today, was to protect regular consumers fr</w:t>
      </w:r>
      <w:r w:rsidR="007C27D6">
        <w:rPr>
          <w:sz w:val="24"/>
          <w:szCs w:val="24"/>
        </w:rPr>
        <w:t xml:space="preserve">om deceptive business practices. </w:t>
      </w:r>
      <w:r w:rsidR="000366B9">
        <w:rPr>
          <w:sz w:val="24"/>
          <w:szCs w:val="24"/>
        </w:rPr>
        <w:t>The M</w:t>
      </w:r>
      <w:r w:rsidR="00EC7CBB">
        <w:rPr>
          <w:sz w:val="24"/>
          <w:szCs w:val="24"/>
        </w:rPr>
        <w:t>M</w:t>
      </w:r>
      <w:r w:rsidR="000366B9">
        <w:rPr>
          <w:sz w:val="24"/>
          <w:szCs w:val="24"/>
        </w:rPr>
        <w:t xml:space="preserve">PA has necessarily evolved </w:t>
      </w:r>
      <w:r w:rsidR="00A4570B">
        <w:rPr>
          <w:sz w:val="24"/>
          <w:szCs w:val="24"/>
        </w:rPr>
        <w:t>in the decades since it was enacted; in order to properly understand the Act, it is necessary to contemplate why it was passed in the first place.</w:t>
      </w:r>
    </w:p>
    <w:p w:rsidR="00503816" w:rsidRDefault="00A4570B" w:rsidP="00A83D60">
      <w:pPr>
        <w:spacing w:line="360" w:lineRule="auto"/>
        <w:rPr>
          <w:sz w:val="24"/>
          <w:szCs w:val="24"/>
        </w:rPr>
      </w:pPr>
      <w:r>
        <w:rPr>
          <w:sz w:val="24"/>
          <w:szCs w:val="24"/>
        </w:rPr>
        <w:tab/>
      </w:r>
      <w:r w:rsidR="00CB7E26">
        <w:rPr>
          <w:sz w:val="24"/>
          <w:szCs w:val="24"/>
        </w:rPr>
        <w:t>Traditionally, the common law</w:t>
      </w:r>
      <w:r w:rsidR="00BD526A">
        <w:rPr>
          <w:sz w:val="24"/>
          <w:szCs w:val="24"/>
        </w:rPr>
        <w:t xml:space="preserve"> has </w:t>
      </w:r>
      <w:r w:rsidR="002B7348">
        <w:rPr>
          <w:sz w:val="24"/>
          <w:szCs w:val="24"/>
        </w:rPr>
        <w:t xml:space="preserve">provided for fraud claims </w:t>
      </w:r>
      <w:r w:rsidR="008A311F">
        <w:rPr>
          <w:sz w:val="24"/>
          <w:szCs w:val="24"/>
        </w:rPr>
        <w:t>in business dealings, i</w:t>
      </w:r>
      <w:r w:rsidR="00C61581">
        <w:rPr>
          <w:sz w:val="24"/>
          <w:szCs w:val="24"/>
        </w:rPr>
        <w:t>ncluding consumer transactions.</w:t>
      </w:r>
      <w:r w:rsidR="00C61581">
        <w:rPr>
          <w:rStyle w:val="FootnoteReference"/>
          <w:sz w:val="24"/>
          <w:szCs w:val="24"/>
        </w:rPr>
        <w:footnoteReference w:id="3"/>
      </w:r>
      <w:r w:rsidR="00F64F29">
        <w:rPr>
          <w:sz w:val="24"/>
          <w:szCs w:val="24"/>
        </w:rPr>
        <w:t xml:space="preserve"> A common-law fraud claim </w:t>
      </w:r>
      <w:r w:rsidR="001A32C7">
        <w:rPr>
          <w:sz w:val="24"/>
          <w:szCs w:val="24"/>
        </w:rPr>
        <w:t>eventually became</w:t>
      </w:r>
      <w:r w:rsidR="00ED7777">
        <w:rPr>
          <w:sz w:val="24"/>
          <w:szCs w:val="24"/>
        </w:rPr>
        <w:t xml:space="preserve"> inadequate to protect </w:t>
      </w:r>
      <w:r w:rsidR="000D41E5">
        <w:rPr>
          <w:sz w:val="24"/>
          <w:szCs w:val="24"/>
        </w:rPr>
        <w:t>ordinary</w:t>
      </w:r>
      <w:r w:rsidR="002868DD">
        <w:rPr>
          <w:sz w:val="24"/>
          <w:szCs w:val="24"/>
        </w:rPr>
        <w:t xml:space="preserve"> consumers because:</w:t>
      </w:r>
      <w:r w:rsidR="000D41E5">
        <w:rPr>
          <w:sz w:val="24"/>
          <w:szCs w:val="24"/>
        </w:rPr>
        <w:t xml:space="preserve"> </w:t>
      </w:r>
      <w:r w:rsidR="002868DD">
        <w:rPr>
          <w:sz w:val="24"/>
          <w:szCs w:val="24"/>
        </w:rPr>
        <w:t xml:space="preserve">1) </w:t>
      </w:r>
      <w:r w:rsidR="000D41E5">
        <w:rPr>
          <w:sz w:val="24"/>
          <w:szCs w:val="24"/>
        </w:rPr>
        <w:t xml:space="preserve">such a claim required a </w:t>
      </w:r>
      <w:r w:rsidR="002868DD">
        <w:rPr>
          <w:sz w:val="24"/>
          <w:szCs w:val="24"/>
        </w:rPr>
        <w:t>number of elements to be proved, and 2)</w:t>
      </w:r>
      <w:r w:rsidR="00133A84">
        <w:rPr>
          <w:sz w:val="24"/>
          <w:szCs w:val="24"/>
        </w:rPr>
        <w:t xml:space="preserve"> bringing such a claim</w:t>
      </w:r>
      <w:r w:rsidR="00503816">
        <w:rPr>
          <w:sz w:val="24"/>
          <w:szCs w:val="24"/>
        </w:rPr>
        <w:t xml:space="preserve"> potentially</w:t>
      </w:r>
      <w:r w:rsidR="00173ECA">
        <w:rPr>
          <w:sz w:val="24"/>
          <w:szCs w:val="24"/>
        </w:rPr>
        <w:t xml:space="preserve"> required the expenditure of significant resources in order to remedy a relatively small wrong.</w:t>
      </w:r>
      <w:r w:rsidR="00961622">
        <w:rPr>
          <w:rStyle w:val="FootnoteReference"/>
          <w:sz w:val="24"/>
          <w:szCs w:val="24"/>
        </w:rPr>
        <w:footnoteReference w:id="4"/>
      </w:r>
      <w:r w:rsidR="00173ECA">
        <w:rPr>
          <w:sz w:val="24"/>
          <w:szCs w:val="24"/>
        </w:rPr>
        <w:t xml:space="preserve"> </w:t>
      </w:r>
      <w:r w:rsidR="00133A84">
        <w:rPr>
          <w:sz w:val="24"/>
          <w:szCs w:val="24"/>
        </w:rPr>
        <w:tab/>
      </w:r>
      <w:r w:rsidR="00133A84">
        <w:rPr>
          <w:sz w:val="24"/>
          <w:szCs w:val="24"/>
        </w:rPr>
        <w:tab/>
      </w:r>
    </w:p>
    <w:p w:rsidR="003A2A91" w:rsidRDefault="00503816" w:rsidP="00A83D60">
      <w:pPr>
        <w:spacing w:line="360" w:lineRule="auto"/>
        <w:rPr>
          <w:sz w:val="24"/>
          <w:szCs w:val="24"/>
        </w:rPr>
      </w:pPr>
      <w:r>
        <w:rPr>
          <w:sz w:val="24"/>
          <w:szCs w:val="24"/>
        </w:rPr>
        <w:tab/>
      </w:r>
      <w:r w:rsidR="00133A84">
        <w:rPr>
          <w:sz w:val="24"/>
          <w:szCs w:val="24"/>
        </w:rPr>
        <w:t>The inadequacy of th</w:t>
      </w:r>
      <w:r w:rsidR="00E11514">
        <w:rPr>
          <w:sz w:val="24"/>
          <w:szCs w:val="24"/>
        </w:rPr>
        <w:t>e common law in this regard should</w:t>
      </w:r>
      <w:r w:rsidR="00133A84">
        <w:rPr>
          <w:sz w:val="24"/>
          <w:szCs w:val="24"/>
        </w:rPr>
        <w:t xml:space="preserve"> be viewed </w:t>
      </w:r>
      <w:r w:rsidR="00F97BF7">
        <w:rPr>
          <w:sz w:val="24"/>
          <w:szCs w:val="24"/>
        </w:rPr>
        <w:t xml:space="preserve">in the context of an </w:t>
      </w:r>
      <w:r w:rsidR="00623B26">
        <w:rPr>
          <w:sz w:val="24"/>
          <w:szCs w:val="24"/>
        </w:rPr>
        <w:t>evolving economy</w:t>
      </w:r>
      <w:r w:rsidR="00F97BF7">
        <w:rPr>
          <w:sz w:val="24"/>
          <w:szCs w:val="24"/>
        </w:rPr>
        <w:t xml:space="preserve">. </w:t>
      </w:r>
      <w:r w:rsidR="00947836">
        <w:rPr>
          <w:sz w:val="24"/>
          <w:szCs w:val="24"/>
        </w:rPr>
        <w:t>The middle decades of the 20th century</w:t>
      </w:r>
      <w:r>
        <w:rPr>
          <w:sz w:val="24"/>
          <w:szCs w:val="24"/>
        </w:rPr>
        <w:t xml:space="preserve"> witnessed the rapid expansion and evolution of the U.S. consumer</w:t>
      </w:r>
      <w:r w:rsidR="00623B26">
        <w:rPr>
          <w:sz w:val="24"/>
          <w:szCs w:val="24"/>
        </w:rPr>
        <w:t xml:space="preserve"> marketplace</w:t>
      </w:r>
      <w:r>
        <w:rPr>
          <w:sz w:val="24"/>
          <w:szCs w:val="24"/>
        </w:rPr>
        <w:t xml:space="preserve">. </w:t>
      </w:r>
      <w:r w:rsidR="002D7919">
        <w:rPr>
          <w:sz w:val="24"/>
          <w:szCs w:val="24"/>
        </w:rPr>
        <w:t xml:space="preserve">Whereas consumerism in the decades and centuries before </w:t>
      </w:r>
      <w:r w:rsidR="00B42C8A">
        <w:rPr>
          <w:sz w:val="24"/>
          <w:szCs w:val="24"/>
        </w:rPr>
        <w:t xml:space="preserve">had typically involved </w:t>
      </w:r>
      <w:r w:rsidR="0037656A">
        <w:rPr>
          <w:sz w:val="24"/>
          <w:szCs w:val="24"/>
        </w:rPr>
        <w:t xml:space="preserve">transactions with </w:t>
      </w:r>
      <w:r w:rsidR="0069704E">
        <w:rPr>
          <w:sz w:val="24"/>
          <w:szCs w:val="24"/>
        </w:rPr>
        <w:t>local</w:t>
      </w:r>
      <w:r w:rsidR="00370BAC">
        <w:rPr>
          <w:sz w:val="24"/>
          <w:szCs w:val="24"/>
        </w:rPr>
        <w:t xml:space="preserve"> vendors, </w:t>
      </w:r>
      <w:r w:rsidR="00400CE0">
        <w:rPr>
          <w:sz w:val="24"/>
          <w:szCs w:val="24"/>
        </w:rPr>
        <w:t xml:space="preserve">which assumed </w:t>
      </w:r>
      <w:r w:rsidR="00413934">
        <w:rPr>
          <w:sz w:val="24"/>
          <w:szCs w:val="24"/>
        </w:rPr>
        <w:t xml:space="preserve">a relative balance of power between </w:t>
      </w:r>
      <w:r w:rsidR="004C48B4">
        <w:rPr>
          <w:sz w:val="24"/>
          <w:szCs w:val="24"/>
        </w:rPr>
        <w:t xml:space="preserve">buyers and sellers, </w:t>
      </w:r>
      <w:r w:rsidR="000272A2">
        <w:rPr>
          <w:sz w:val="24"/>
          <w:szCs w:val="24"/>
        </w:rPr>
        <w:t xml:space="preserve">the expanding consumer economy entailed </w:t>
      </w:r>
      <w:r w:rsidR="00C55690">
        <w:rPr>
          <w:sz w:val="24"/>
          <w:szCs w:val="24"/>
        </w:rPr>
        <w:t>more mass prod</w:t>
      </w:r>
      <w:r w:rsidR="003A2A91">
        <w:rPr>
          <w:sz w:val="24"/>
          <w:szCs w:val="24"/>
        </w:rPr>
        <w:t xml:space="preserve">uction of increasingly complex products, such as TVs, refrigerators, </w:t>
      </w:r>
      <w:r w:rsidR="000F4647">
        <w:rPr>
          <w:sz w:val="24"/>
          <w:szCs w:val="24"/>
        </w:rPr>
        <w:t xml:space="preserve">and cars. </w:t>
      </w:r>
    </w:p>
    <w:p w:rsidR="006444EF" w:rsidRDefault="00DF1532" w:rsidP="00331D36">
      <w:pPr>
        <w:widowControl w:val="0"/>
        <w:spacing w:line="360" w:lineRule="auto"/>
        <w:rPr>
          <w:sz w:val="24"/>
          <w:szCs w:val="24"/>
        </w:rPr>
      </w:pPr>
      <w:r>
        <w:rPr>
          <w:sz w:val="24"/>
          <w:szCs w:val="24"/>
        </w:rPr>
        <w:lastRenderedPageBreak/>
        <w:tab/>
        <w:t xml:space="preserve">It was against this backdrop of </w:t>
      </w:r>
      <w:r w:rsidR="007951C8">
        <w:rPr>
          <w:sz w:val="24"/>
          <w:szCs w:val="24"/>
        </w:rPr>
        <w:t xml:space="preserve">increasingly impersonal </w:t>
      </w:r>
      <w:r w:rsidR="00ED0613">
        <w:rPr>
          <w:sz w:val="24"/>
          <w:szCs w:val="24"/>
        </w:rPr>
        <w:t>and complex</w:t>
      </w:r>
      <w:r w:rsidR="00C46217">
        <w:rPr>
          <w:sz w:val="24"/>
          <w:szCs w:val="24"/>
        </w:rPr>
        <w:t xml:space="preserve"> </w:t>
      </w:r>
      <w:r w:rsidR="004B52CD">
        <w:rPr>
          <w:sz w:val="24"/>
          <w:szCs w:val="24"/>
        </w:rPr>
        <w:t xml:space="preserve">mass </w:t>
      </w:r>
      <w:r w:rsidR="00FE4B4B">
        <w:rPr>
          <w:sz w:val="24"/>
          <w:szCs w:val="24"/>
        </w:rPr>
        <w:t>production, and decades after the fede</w:t>
      </w:r>
      <w:r w:rsidR="00184915">
        <w:rPr>
          <w:sz w:val="24"/>
          <w:szCs w:val="24"/>
        </w:rPr>
        <w:t xml:space="preserve">ral government first addressed consumer protection in legislation, </w:t>
      </w:r>
      <w:r w:rsidR="006234C9">
        <w:rPr>
          <w:sz w:val="24"/>
          <w:szCs w:val="24"/>
        </w:rPr>
        <w:t>that</w:t>
      </w:r>
      <w:r w:rsidR="00AF4BF5">
        <w:rPr>
          <w:sz w:val="24"/>
          <w:szCs w:val="24"/>
        </w:rPr>
        <w:t xml:space="preserve"> Missouri’s legislature enacted the first </w:t>
      </w:r>
      <w:r w:rsidR="00F41C58">
        <w:rPr>
          <w:sz w:val="24"/>
          <w:szCs w:val="24"/>
        </w:rPr>
        <w:t>version of the M</w:t>
      </w:r>
      <w:r w:rsidR="00EC7CBB">
        <w:rPr>
          <w:sz w:val="24"/>
          <w:szCs w:val="24"/>
        </w:rPr>
        <w:t>M</w:t>
      </w:r>
      <w:r w:rsidR="00F41C58">
        <w:rPr>
          <w:sz w:val="24"/>
          <w:szCs w:val="24"/>
        </w:rPr>
        <w:t>PA</w:t>
      </w:r>
      <w:r w:rsidR="00C301CE">
        <w:rPr>
          <w:sz w:val="24"/>
          <w:szCs w:val="24"/>
        </w:rPr>
        <w:t>,</w:t>
      </w:r>
      <w:r w:rsidR="00F41C58">
        <w:rPr>
          <w:sz w:val="24"/>
          <w:szCs w:val="24"/>
        </w:rPr>
        <w:t xml:space="preserve"> in 1967.</w:t>
      </w:r>
      <w:r w:rsidR="00934938">
        <w:rPr>
          <w:sz w:val="24"/>
          <w:szCs w:val="24"/>
        </w:rPr>
        <w:t xml:space="preserve"> The initial iteration of the M</w:t>
      </w:r>
      <w:r w:rsidR="00980363">
        <w:rPr>
          <w:sz w:val="24"/>
          <w:szCs w:val="24"/>
        </w:rPr>
        <w:t>M</w:t>
      </w:r>
      <w:r w:rsidR="00934938">
        <w:rPr>
          <w:sz w:val="24"/>
          <w:szCs w:val="24"/>
        </w:rPr>
        <w:t xml:space="preserve">PA was </w:t>
      </w:r>
      <w:r w:rsidR="0024691B">
        <w:rPr>
          <w:sz w:val="24"/>
          <w:szCs w:val="24"/>
        </w:rPr>
        <w:t xml:space="preserve">relatively terse: </w:t>
      </w:r>
      <w:r w:rsidR="004E0A06">
        <w:rPr>
          <w:sz w:val="24"/>
          <w:szCs w:val="24"/>
        </w:rPr>
        <w:t>it cont</w:t>
      </w:r>
      <w:r w:rsidR="00C00037">
        <w:rPr>
          <w:sz w:val="24"/>
          <w:szCs w:val="24"/>
        </w:rPr>
        <w:t xml:space="preserve">ained fourteen sections with § 407.020 providing the operative </w:t>
      </w:r>
      <w:r w:rsidR="00C7275E">
        <w:rPr>
          <w:sz w:val="24"/>
          <w:szCs w:val="24"/>
        </w:rPr>
        <w:t>triggering language</w:t>
      </w:r>
      <w:r w:rsidR="008F3ADC">
        <w:rPr>
          <w:sz w:val="24"/>
          <w:szCs w:val="24"/>
        </w:rPr>
        <w:t>.</w:t>
      </w:r>
      <w:r w:rsidR="003974DA">
        <w:rPr>
          <w:rStyle w:val="FootnoteReference"/>
          <w:sz w:val="24"/>
          <w:szCs w:val="24"/>
        </w:rPr>
        <w:footnoteReference w:id="5"/>
      </w:r>
      <w:r w:rsidR="008F3ADC">
        <w:rPr>
          <w:sz w:val="24"/>
          <w:szCs w:val="24"/>
        </w:rPr>
        <w:t xml:space="preserve"> </w:t>
      </w:r>
      <w:r w:rsidR="0070425F">
        <w:rPr>
          <w:sz w:val="24"/>
          <w:szCs w:val="24"/>
        </w:rPr>
        <w:t xml:space="preserve">That section </w:t>
      </w:r>
      <w:r w:rsidR="003E706C">
        <w:rPr>
          <w:sz w:val="24"/>
          <w:szCs w:val="24"/>
        </w:rPr>
        <w:t xml:space="preserve">significantly expanded </w:t>
      </w:r>
      <w:r w:rsidR="0027350B">
        <w:rPr>
          <w:sz w:val="24"/>
          <w:szCs w:val="24"/>
        </w:rPr>
        <w:t xml:space="preserve">the potential causes of action available to consumers in various ways, including the declaration that material and intentional </w:t>
      </w:r>
      <w:r w:rsidR="0027350B">
        <w:rPr>
          <w:i/>
          <w:sz w:val="24"/>
          <w:szCs w:val="24"/>
        </w:rPr>
        <w:t>omissions</w:t>
      </w:r>
      <w:r w:rsidR="0027350B">
        <w:rPr>
          <w:sz w:val="24"/>
          <w:szCs w:val="24"/>
        </w:rPr>
        <w:t xml:space="preserve"> by sellers </w:t>
      </w:r>
      <w:r w:rsidR="009C3099">
        <w:rPr>
          <w:sz w:val="24"/>
          <w:szCs w:val="24"/>
        </w:rPr>
        <w:t>were</w:t>
      </w:r>
      <w:r w:rsidR="0027350B">
        <w:rPr>
          <w:sz w:val="24"/>
          <w:szCs w:val="24"/>
        </w:rPr>
        <w:t xml:space="preserve"> now unlawful.</w:t>
      </w:r>
      <w:r w:rsidR="0027350B">
        <w:rPr>
          <w:rStyle w:val="FootnoteReference"/>
          <w:sz w:val="24"/>
          <w:szCs w:val="24"/>
        </w:rPr>
        <w:footnoteReference w:id="6"/>
      </w:r>
      <w:r w:rsidR="0027350B">
        <w:rPr>
          <w:sz w:val="24"/>
          <w:szCs w:val="24"/>
        </w:rPr>
        <w:t xml:space="preserve"> </w:t>
      </w:r>
      <w:r w:rsidR="00061786">
        <w:rPr>
          <w:sz w:val="24"/>
          <w:szCs w:val="24"/>
        </w:rPr>
        <w:t xml:space="preserve">This inclusion of passive </w:t>
      </w:r>
      <w:r w:rsidR="008402DC">
        <w:rPr>
          <w:sz w:val="24"/>
          <w:szCs w:val="24"/>
        </w:rPr>
        <w:t xml:space="preserve">deception—for example, the seller of a used car who </w:t>
      </w:r>
      <w:r w:rsidR="00FF4BA9">
        <w:rPr>
          <w:sz w:val="24"/>
          <w:szCs w:val="24"/>
        </w:rPr>
        <w:t xml:space="preserve">knew </w:t>
      </w:r>
      <w:r w:rsidR="00BD53FA">
        <w:rPr>
          <w:sz w:val="24"/>
          <w:szCs w:val="24"/>
        </w:rPr>
        <w:t xml:space="preserve">the engine was fundamentally flawed need not explicitly lie about </w:t>
      </w:r>
      <w:r w:rsidR="00725507">
        <w:rPr>
          <w:sz w:val="24"/>
          <w:szCs w:val="24"/>
        </w:rPr>
        <w:t>the engine but merely fail to mention it in order to be liable—</w:t>
      </w:r>
      <w:r w:rsidR="00EA2F15">
        <w:rPr>
          <w:sz w:val="24"/>
          <w:szCs w:val="24"/>
        </w:rPr>
        <w:t xml:space="preserve">entailed a </w:t>
      </w:r>
      <w:r w:rsidR="00033907">
        <w:rPr>
          <w:sz w:val="24"/>
          <w:szCs w:val="24"/>
        </w:rPr>
        <w:t xml:space="preserve">significant </w:t>
      </w:r>
      <w:r w:rsidR="00AF6965">
        <w:rPr>
          <w:sz w:val="24"/>
          <w:szCs w:val="24"/>
        </w:rPr>
        <w:t xml:space="preserve">advance in consumer protection because </w:t>
      </w:r>
      <w:r w:rsidR="007F371B">
        <w:rPr>
          <w:sz w:val="24"/>
          <w:szCs w:val="24"/>
        </w:rPr>
        <w:t xml:space="preserve">it </w:t>
      </w:r>
      <w:r w:rsidR="00F671CB">
        <w:rPr>
          <w:sz w:val="24"/>
          <w:szCs w:val="24"/>
        </w:rPr>
        <w:t xml:space="preserve">addressed a sales tactic, especially pertinent to used cars, commonly used to </w:t>
      </w:r>
      <w:r w:rsidR="000B108C">
        <w:rPr>
          <w:sz w:val="24"/>
          <w:szCs w:val="24"/>
        </w:rPr>
        <w:t>dece</w:t>
      </w:r>
      <w:r w:rsidR="004837A0">
        <w:rPr>
          <w:sz w:val="24"/>
          <w:szCs w:val="24"/>
        </w:rPr>
        <w:t>ive ordinary buyers</w:t>
      </w:r>
      <w:r w:rsidR="000B108C">
        <w:rPr>
          <w:sz w:val="24"/>
          <w:szCs w:val="24"/>
        </w:rPr>
        <w:t xml:space="preserve">. </w:t>
      </w:r>
      <w:r w:rsidR="00847D47">
        <w:rPr>
          <w:sz w:val="24"/>
          <w:szCs w:val="24"/>
        </w:rPr>
        <w:t xml:space="preserve"> </w:t>
      </w:r>
    </w:p>
    <w:p w:rsidR="00BC1864" w:rsidRDefault="009752B8" w:rsidP="00331D36">
      <w:pPr>
        <w:widowControl w:val="0"/>
        <w:spacing w:line="360" w:lineRule="auto"/>
        <w:rPr>
          <w:sz w:val="24"/>
          <w:szCs w:val="24"/>
        </w:rPr>
      </w:pPr>
      <w:r>
        <w:rPr>
          <w:sz w:val="24"/>
          <w:szCs w:val="24"/>
        </w:rPr>
        <w:tab/>
        <w:t>S</w:t>
      </w:r>
      <w:r w:rsidR="00981780">
        <w:rPr>
          <w:sz w:val="24"/>
          <w:szCs w:val="24"/>
        </w:rPr>
        <w:t>ome industries, most notably advertising/marketing (including radio and TV stations),</w:t>
      </w:r>
      <w:r w:rsidR="008E375F">
        <w:rPr>
          <w:sz w:val="24"/>
          <w:szCs w:val="24"/>
        </w:rPr>
        <w:t xml:space="preserve"> insurance, and regulated financial institutions have always been exempt from the M</w:t>
      </w:r>
      <w:r w:rsidR="00EC7CBB">
        <w:rPr>
          <w:sz w:val="24"/>
          <w:szCs w:val="24"/>
        </w:rPr>
        <w:t>M</w:t>
      </w:r>
      <w:r w:rsidR="008E375F">
        <w:rPr>
          <w:sz w:val="24"/>
          <w:szCs w:val="24"/>
        </w:rPr>
        <w:t>PA.</w:t>
      </w:r>
      <w:r w:rsidR="008E375F">
        <w:rPr>
          <w:rStyle w:val="FootnoteReference"/>
          <w:sz w:val="24"/>
          <w:szCs w:val="24"/>
        </w:rPr>
        <w:footnoteReference w:id="7"/>
      </w:r>
      <w:r w:rsidR="00251798">
        <w:rPr>
          <w:sz w:val="24"/>
          <w:szCs w:val="24"/>
        </w:rPr>
        <w:t xml:space="preserve"> The logic behind their exclusion is clear: insurance and regulated f</w:t>
      </w:r>
      <w:r w:rsidR="004D0DF2">
        <w:rPr>
          <w:sz w:val="24"/>
          <w:szCs w:val="24"/>
        </w:rPr>
        <w:t>inancial firms, most relevantly</w:t>
      </w:r>
      <w:r w:rsidR="00251798">
        <w:rPr>
          <w:sz w:val="24"/>
          <w:szCs w:val="24"/>
        </w:rPr>
        <w:t xml:space="preserve"> reg</w:t>
      </w:r>
      <w:r w:rsidR="001F1490">
        <w:rPr>
          <w:sz w:val="24"/>
          <w:szCs w:val="24"/>
        </w:rPr>
        <w:t xml:space="preserve">ular commercial banks, </w:t>
      </w:r>
      <w:r w:rsidR="00251798">
        <w:rPr>
          <w:sz w:val="24"/>
          <w:szCs w:val="24"/>
        </w:rPr>
        <w:t xml:space="preserve">are already subject to numerous state guidelines </w:t>
      </w:r>
      <w:r w:rsidR="00500CD6">
        <w:rPr>
          <w:sz w:val="24"/>
          <w:szCs w:val="24"/>
        </w:rPr>
        <w:t>regulating various aspects of their businesses</w:t>
      </w:r>
      <w:r w:rsidR="00EE41C6">
        <w:rPr>
          <w:sz w:val="24"/>
          <w:szCs w:val="24"/>
        </w:rPr>
        <w:t xml:space="preserve">—even if they are not </w:t>
      </w:r>
      <w:r w:rsidR="00EE41C6">
        <w:rPr>
          <w:i/>
          <w:iCs/>
          <w:sz w:val="24"/>
          <w:szCs w:val="24"/>
        </w:rPr>
        <w:t>effectively</w:t>
      </w:r>
      <w:r w:rsidR="00EE41C6">
        <w:rPr>
          <w:sz w:val="24"/>
          <w:szCs w:val="24"/>
        </w:rPr>
        <w:t xml:space="preserve"> regulated</w:t>
      </w:r>
      <w:r w:rsidR="00500CD6">
        <w:rPr>
          <w:sz w:val="24"/>
          <w:szCs w:val="24"/>
        </w:rPr>
        <w:t xml:space="preserve">; in the case of advertising/marketing agencies </w:t>
      </w:r>
      <w:r w:rsidR="00B96933">
        <w:rPr>
          <w:sz w:val="24"/>
          <w:szCs w:val="24"/>
        </w:rPr>
        <w:t>and media stations</w:t>
      </w:r>
      <w:r w:rsidR="00500CD6">
        <w:rPr>
          <w:sz w:val="24"/>
          <w:szCs w:val="24"/>
        </w:rPr>
        <w:t>, the logic of their exclusion is that they are not</w:t>
      </w:r>
      <w:r w:rsidR="006D238D">
        <w:rPr>
          <w:sz w:val="24"/>
          <w:szCs w:val="24"/>
        </w:rPr>
        <w:t xml:space="preserve"> responsible for the </w:t>
      </w:r>
      <w:r w:rsidR="00500CD6">
        <w:rPr>
          <w:sz w:val="24"/>
          <w:szCs w:val="24"/>
        </w:rPr>
        <w:t xml:space="preserve">practices </w:t>
      </w:r>
      <w:r w:rsidR="007E1C02">
        <w:rPr>
          <w:sz w:val="24"/>
          <w:szCs w:val="24"/>
        </w:rPr>
        <w:t>of the</w:t>
      </w:r>
      <w:r w:rsidR="00B96933">
        <w:rPr>
          <w:sz w:val="24"/>
          <w:szCs w:val="24"/>
        </w:rPr>
        <w:t xml:space="preserve"> businesses that </w:t>
      </w:r>
      <w:r w:rsidR="007E1C02">
        <w:rPr>
          <w:sz w:val="24"/>
          <w:szCs w:val="24"/>
        </w:rPr>
        <w:t xml:space="preserve">merely </w:t>
      </w:r>
      <w:r w:rsidR="00B96933">
        <w:rPr>
          <w:sz w:val="24"/>
          <w:szCs w:val="24"/>
        </w:rPr>
        <w:t xml:space="preserve">pay them for publicity. </w:t>
      </w:r>
    </w:p>
    <w:p w:rsidR="00B14A8A" w:rsidRDefault="00B14A8A" w:rsidP="00B14A8A">
      <w:pPr>
        <w:spacing w:line="360" w:lineRule="auto"/>
        <w:jc w:val="center"/>
        <w:rPr>
          <w:b/>
          <w:sz w:val="24"/>
          <w:szCs w:val="24"/>
          <w:u w:val="single"/>
        </w:rPr>
      </w:pPr>
      <w:r w:rsidRPr="00B14A8A">
        <w:rPr>
          <w:b/>
          <w:sz w:val="24"/>
          <w:szCs w:val="24"/>
          <w:u w:val="single"/>
        </w:rPr>
        <w:t>The 1973 Amendments</w:t>
      </w:r>
    </w:p>
    <w:p w:rsidR="00184915" w:rsidRPr="00184915" w:rsidRDefault="001703EE" w:rsidP="001703EE">
      <w:pPr>
        <w:spacing w:line="360" w:lineRule="auto"/>
        <w:rPr>
          <w:sz w:val="24"/>
          <w:szCs w:val="24"/>
        </w:rPr>
      </w:pPr>
      <w:r>
        <w:rPr>
          <w:sz w:val="24"/>
          <w:szCs w:val="24"/>
        </w:rPr>
        <w:tab/>
        <w:t xml:space="preserve">Perhaps the single most significant amendment to the Act occurred in 1973, when </w:t>
      </w:r>
      <w:r w:rsidR="00184915">
        <w:rPr>
          <w:sz w:val="24"/>
          <w:szCs w:val="24"/>
        </w:rPr>
        <w:t xml:space="preserve">the legislature </w:t>
      </w:r>
      <w:r w:rsidR="00A763B4">
        <w:rPr>
          <w:sz w:val="24"/>
          <w:szCs w:val="24"/>
        </w:rPr>
        <w:t xml:space="preserve">added a private cause of action to </w:t>
      </w:r>
      <w:r w:rsidR="00246045">
        <w:rPr>
          <w:sz w:val="24"/>
          <w:szCs w:val="24"/>
        </w:rPr>
        <w:t>§ 407.025</w:t>
      </w:r>
      <w:r w:rsidR="00251F1D">
        <w:rPr>
          <w:sz w:val="24"/>
          <w:szCs w:val="24"/>
        </w:rPr>
        <w:t>, which also included the right to seek attorney’s fees</w:t>
      </w:r>
      <w:r w:rsidR="00E32477">
        <w:rPr>
          <w:sz w:val="24"/>
          <w:szCs w:val="24"/>
        </w:rPr>
        <w:t xml:space="preserve"> and class actions.</w:t>
      </w:r>
      <w:r w:rsidR="00246045">
        <w:rPr>
          <w:rStyle w:val="FootnoteReference"/>
          <w:sz w:val="24"/>
          <w:szCs w:val="24"/>
        </w:rPr>
        <w:footnoteReference w:id="8"/>
      </w:r>
      <w:r w:rsidR="00ED7FC3">
        <w:rPr>
          <w:sz w:val="24"/>
          <w:szCs w:val="24"/>
        </w:rPr>
        <w:t xml:space="preserve"> Before this crucial addition, consumer complaints had to be pursued </w:t>
      </w:r>
      <w:r w:rsidR="00754592">
        <w:rPr>
          <w:sz w:val="24"/>
          <w:szCs w:val="24"/>
        </w:rPr>
        <w:t>by the Attorney General</w:t>
      </w:r>
      <w:r w:rsidR="00ED7FC3">
        <w:rPr>
          <w:sz w:val="24"/>
          <w:szCs w:val="24"/>
        </w:rPr>
        <w:t xml:space="preserve">. </w:t>
      </w:r>
      <w:r w:rsidR="00DA72D5">
        <w:rPr>
          <w:sz w:val="24"/>
          <w:szCs w:val="24"/>
        </w:rPr>
        <w:t xml:space="preserve">In addition to adding a private cause of action, </w:t>
      </w:r>
      <w:r w:rsidR="00796766">
        <w:rPr>
          <w:sz w:val="24"/>
          <w:szCs w:val="24"/>
        </w:rPr>
        <w:t xml:space="preserve">the 1973 amendments also </w:t>
      </w:r>
      <w:r w:rsidR="00736664">
        <w:rPr>
          <w:sz w:val="24"/>
          <w:szCs w:val="24"/>
        </w:rPr>
        <w:t xml:space="preserve">explicitly </w:t>
      </w:r>
      <w:r w:rsidR="00F211F4">
        <w:rPr>
          <w:sz w:val="24"/>
          <w:szCs w:val="24"/>
        </w:rPr>
        <w:t xml:space="preserve">addressed a </w:t>
      </w:r>
      <w:r w:rsidR="00796766">
        <w:rPr>
          <w:sz w:val="24"/>
          <w:szCs w:val="24"/>
        </w:rPr>
        <w:t>practice—odometer tampering—</w:t>
      </w:r>
      <w:r w:rsidR="00616AFB">
        <w:rPr>
          <w:sz w:val="24"/>
          <w:szCs w:val="24"/>
        </w:rPr>
        <w:t>commonly</w:t>
      </w:r>
      <w:r w:rsidR="00F211F4">
        <w:rPr>
          <w:sz w:val="24"/>
          <w:szCs w:val="24"/>
        </w:rPr>
        <w:t xml:space="preserve"> used to deceive buyers of used cars.</w:t>
      </w:r>
      <w:r w:rsidR="00F211F4">
        <w:rPr>
          <w:rStyle w:val="FootnoteReference"/>
          <w:sz w:val="24"/>
          <w:szCs w:val="24"/>
        </w:rPr>
        <w:footnoteReference w:id="9"/>
      </w:r>
      <w:r w:rsidR="00616AFB">
        <w:rPr>
          <w:sz w:val="24"/>
          <w:szCs w:val="24"/>
        </w:rPr>
        <w:t xml:space="preserve"> </w:t>
      </w:r>
      <w:r w:rsidR="00DE20A1">
        <w:rPr>
          <w:sz w:val="24"/>
          <w:szCs w:val="24"/>
        </w:rPr>
        <w:t>One can also see a legislative response to a traditional consumer annoyance—door-to-door sales</w:t>
      </w:r>
      <w:r w:rsidR="00AE1105">
        <w:rPr>
          <w:sz w:val="24"/>
          <w:szCs w:val="24"/>
        </w:rPr>
        <w:t>people using high-pressure</w:t>
      </w:r>
      <w:r w:rsidR="001A0E07">
        <w:rPr>
          <w:sz w:val="24"/>
          <w:szCs w:val="24"/>
        </w:rPr>
        <w:t xml:space="preserve"> sales tactics</w:t>
      </w:r>
      <w:r w:rsidR="00DE20A1">
        <w:rPr>
          <w:sz w:val="24"/>
          <w:szCs w:val="24"/>
        </w:rPr>
        <w:t>—</w:t>
      </w:r>
      <w:r w:rsidR="00E26B6F">
        <w:rPr>
          <w:sz w:val="24"/>
          <w:szCs w:val="24"/>
        </w:rPr>
        <w:t>in the inclusion of a three-day right to rescission of credit-purchased personal goods and services</w:t>
      </w:r>
      <w:r w:rsidR="00F64DF4">
        <w:rPr>
          <w:sz w:val="24"/>
          <w:szCs w:val="24"/>
        </w:rPr>
        <w:t xml:space="preserve"> stemming from </w:t>
      </w:r>
      <w:r w:rsidR="00F64DF4">
        <w:rPr>
          <w:sz w:val="24"/>
          <w:szCs w:val="24"/>
        </w:rPr>
        <w:lastRenderedPageBreak/>
        <w:t xml:space="preserve">unsolicited </w:t>
      </w:r>
      <w:r w:rsidR="00E26B6F">
        <w:rPr>
          <w:sz w:val="24"/>
          <w:szCs w:val="24"/>
        </w:rPr>
        <w:t>sales.</w:t>
      </w:r>
      <w:r w:rsidR="00E26B6F">
        <w:rPr>
          <w:rStyle w:val="FootnoteReference"/>
          <w:sz w:val="24"/>
          <w:szCs w:val="24"/>
        </w:rPr>
        <w:footnoteReference w:id="10"/>
      </w:r>
      <w:r w:rsidR="00E26B6F">
        <w:rPr>
          <w:sz w:val="24"/>
          <w:szCs w:val="24"/>
        </w:rPr>
        <w:t xml:space="preserve"> </w:t>
      </w:r>
      <w:r w:rsidR="000B6D4C">
        <w:rPr>
          <w:sz w:val="24"/>
          <w:szCs w:val="24"/>
        </w:rPr>
        <w:t>The amendments also added some basic definitions, such as one for “commerce,” that the 1967 version of the M</w:t>
      </w:r>
      <w:r w:rsidR="00EC7CBB">
        <w:rPr>
          <w:sz w:val="24"/>
          <w:szCs w:val="24"/>
        </w:rPr>
        <w:t>M</w:t>
      </w:r>
      <w:r w:rsidR="000B6D4C">
        <w:rPr>
          <w:sz w:val="24"/>
          <w:szCs w:val="24"/>
        </w:rPr>
        <w:t xml:space="preserve">PA had been remiss in </w:t>
      </w:r>
      <w:r w:rsidR="00B55D96">
        <w:rPr>
          <w:sz w:val="24"/>
          <w:szCs w:val="24"/>
        </w:rPr>
        <w:t>failing to include.</w:t>
      </w:r>
      <w:r w:rsidR="00B55D96">
        <w:rPr>
          <w:rStyle w:val="FootnoteReference"/>
          <w:sz w:val="24"/>
          <w:szCs w:val="24"/>
        </w:rPr>
        <w:footnoteReference w:id="11"/>
      </w:r>
    </w:p>
    <w:p w:rsidR="00085FB4" w:rsidRDefault="00BB6EA3" w:rsidP="00BB6EA3">
      <w:pPr>
        <w:spacing w:line="360" w:lineRule="auto"/>
        <w:rPr>
          <w:sz w:val="24"/>
          <w:szCs w:val="24"/>
        </w:rPr>
      </w:pPr>
      <w:r>
        <w:rPr>
          <w:sz w:val="24"/>
          <w:szCs w:val="24"/>
        </w:rPr>
        <w:tab/>
        <w:t>The most seminal case in M</w:t>
      </w:r>
      <w:r w:rsidR="00EC7CBB">
        <w:rPr>
          <w:sz w:val="24"/>
          <w:szCs w:val="24"/>
        </w:rPr>
        <w:t>M</w:t>
      </w:r>
      <w:r>
        <w:rPr>
          <w:sz w:val="24"/>
          <w:szCs w:val="24"/>
        </w:rPr>
        <w:t>PA jurisprudence—</w:t>
      </w:r>
      <w:r>
        <w:rPr>
          <w:i/>
          <w:sz w:val="24"/>
          <w:szCs w:val="24"/>
        </w:rPr>
        <w:t>State ex rel. Danforth v. Independence Dodge, Inc.</w:t>
      </w:r>
      <w:r>
        <w:rPr>
          <w:sz w:val="24"/>
          <w:szCs w:val="24"/>
        </w:rPr>
        <w:t>—was decided in 1973</w:t>
      </w:r>
      <w:r w:rsidR="00CE75D2">
        <w:rPr>
          <w:sz w:val="24"/>
          <w:szCs w:val="24"/>
        </w:rPr>
        <w:t xml:space="preserve"> and concerned</w:t>
      </w:r>
      <w:r w:rsidR="0069741E">
        <w:rPr>
          <w:sz w:val="24"/>
          <w:szCs w:val="24"/>
        </w:rPr>
        <w:t xml:space="preserve"> an automobile sale</w:t>
      </w:r>
      <w:r>
        <w:rPr>
          <w:sz w:val="24"/>
          <w:szCs w:val="24"/>
        </w:rPr>
        <w:t>.</w:t>
      </w:r>
      <w:r w:rsidR="001444D9" w:rsidRPr="00521C35">
        <w:rPr>
          <w:rStyle w:val="FootnoteReference"/>
          <w:sz w:val="24"/>
          <w:szCs w:val="24"/>
        </w:rPr>
        <w:footnoteReference w:id="12"/>
      </w:r>
      <w:r>
        <w:rPr>
          <w:sz w:val="24"/>
          <w:szCs w:val="24"/>
        </w:rPr>
        <w:t xml:space="preserve"> In that case, prosecuted by Attorney General John Danforth, the court held that the defendant’s </w:t>
      </w:r>
      <w:r w:rsidR="00CE75D2">
        <w:rPr>
          <w:sz w:val="24"/>
          <w:szCs w:val="24"/>
        </w:rPr>
        <w:t xml:space="preserve">failure to disclose </w:t>
      </w:r>
      <w:r w:rsidR="0069741E">
        <w:rPr>
          <w:sz w:val="24"/>
          <w:szCs w:val="24"/>
        </w:rPr>
        <w:t>that a car billed as near-new had actually been in a wreck (of which the defendant had knowledge) was fraudulent behavior</w:t>
      </w:r>
      <w:r w:rsidR="00A66389">
        <w:rPr>
          <w:sz w:val="24"/>
          <w:szCs w:val="24"/>
        </w:rPr>
        <w:t>.</w:t>
      </w:r>
      <w:r w:rsidR="0069741E">
        <w:rPr>
          <w:rStyle w:val="FootnoteReference"/>
          <w:sz w:val="24"/>
          <w:szCs w:val="24"/>
        </w:rPr>
        <w:footnoteReference w:id="13"/>
      </w:r>
      <w:r w:rsidR="00605F9B">
        <w:rPr>
          <w:sz w:val="24"/>
          <w:szCs w:val="24"/>
        </w:rPr>
        <w:t xml:space="preserve"> The </w:t>
      </w:r>
      <w:r w:rsidR="00605F9B">
        <w:rPr>
          <w:i/>
          <w:sz w:val="24"/>
          <w:szCs w:val="24"/>
        </w:rPr>
        <w:t>Danforth</w:t>
      </w:r>
      <w:r w:rsidR="00605F9B">
        <w:rPr>
          <w:sz w:val="24"/>
          <w:szCs w:val="24"/>
        </w:rPr>
        <w:t xml:space="preserve"> court also </w:t>
      </w:r>
      <w:r w:rsidR="00760BE9">
        <w:rPr>
          <w:sz w:val="24"/>
          <w:szCs w:val="24"/>
        </w:rPr>
        <w:t xml:space="preserve">put forth a clear statement of the </w:t>
      </w:r>
      <w:r w:rsidR="00085FB4">
        <w:rPr>
          <w:sz w:val="24"/>
          <w:szCs w:val="24"/>
        </w:rPr>
        <w:t xml:space="preserve">fundamental </w:t>
      </w:r>
      <w:r w:rsidR="00760BE9">
        <w:rPr>
          <w:sz w:val="24"/>
          <w:szCs w:val="24"/>
        </w:rPr>
        <w:t>purpose</w:t>
      </w:r>
      <w:r w:rsidR="00085FB4">
        <w:rPr>
          <w:sz w:val="24"/>
          <w:szCs w:val="24"/>
        </w:rPr>
        <w:t>s</w:t>
      </w:r>
      <w:r w:rsidR="00760BE9">
        <w:rPr>
          <w:sz w:val="24"/>
          <w:szCs w:val="24"/>
        </w:rPr>
        <w:t xml:space="preserve"> of the M</w:t>
      </w:r>
      <w:r w:rsidR="00EC7CBB">
        <w:rPr>
          <w:sz w:val="24"/>
          <w:szCs w:val="24"/>
        </w:rPr>
        <w:t>M</w:t>
      </w:r>
      <w:r w:rsidR="00760BE9">
        <w:rPr>
          <w:sz w:val="24"/>
          <w:szCs w:val="24"/>
        </w:rPr>
        <w:t>PA</w:t>
      </w:r>
      <w:r w:rsidR="00E75FCB">
        <w:rPr>
          <w:sz w:val="24"/>
          <w:szCs w:val="24"/>
        </w:rPr>
        <w:t xml:space="preserve">: </w:t>
      </w:r>
    </w:p>
    <w:p w:rsidR="00085FB4" w:rsidRDefault="00085FB4" w:rsidP="00F64DF4">
      <w:pPr>
        <w:ind w:left="720" w:right="720"/>
        <w:jc w:val="both"/>
        <w:rPr>
          <w:b/>
          <w:sz w:val="24"/>
          <w:szCs w:val="24"/>
        </w:rPr>
      </w:pPr>
      <w:r w:rsidRPr="00085FB4">
        <w:rPr>
          <w:sz w:val="24"/>
          <w:szCs w:val="24"/>
        </w:rPr>
        <w:t xml:space="preserve">The purpose of these statutes is to supplement the definitions of common law fraud in an </w:t>
      </w:r>
      <w:r>
        <w:rPr>
          <w:sz w:val="24"/>
          <w:szCs w:val="24"/>
        </w:rPr>
        <w:tab/>
      </w:r>
      <w:r w:rsidRPr="00085FB4">
        <w:rPr>
          <w:sz w:val="24"/>
          <w:szCs w:val="24"/>
        </w:rPr>
        <w:t xml:space="preserve">attempt to preserve fundamental honesty, fair play and right dealings in public transactions.  </w:t>
      </w:r>
      <w:r w:rsidRPr="00D66749">
        <w:rPr>
          <w:b/>
          <w:i/>
          <w:sz w:val="24"/>
          <w:szCs w:val="24"/>
        </w:rPr>
        <w:t>In order to give broad scope to the statutory protection and to preven</w:t>
      </w:r>
      <w:r w:rsidR="00141C5E">
        <w:rPr>
          <w:b/>
          <w:i/>
          <w:sz w:val="24"/>
          <w:szCs w:val="24"/>
        </w:rPr>
        <w:t xml:space="preserve">t ease of evasion </w:t>
      </w:r>
      <w:r w:rsidRPr="00D66749">
        <w:rPr>
          <w:b/>
          <w:i/>
          <w:sz w:val="24"/>
          <w:szCs w:val="24"/>
        </w:rPr>
        <w:t>because of overly meticulous definitions, many of these law</w:t>
      </w:r>
      <w:r w:rsidR="00141C5E">
        <w:rPr>
          <w:b/>
          <w:i/>
          <w:sz w:val="24"/>
          <w:szCs w:val="24"/>
        </w:rPr>
        <w:t xml:space="preserve">s such as the Missouri statute </w:t>
      </w:r>
      <w:r w:rsidR="00D66749">
        <w:rPr>
          <w:b/>
          <w:i/>
          <w:sz w:val="24"/>
          <w:szCs w:val="24"/>
        </w:rPr>
        <w:t>“</w:t>
      </w:r>
      <w:r w:rsidRPr="00D66749">
        <w:rPr>
          <w:b/>
          <w:i/>
          <w:sz w:val="24"/>
          <w:szCs w:val="24"/>
        </w:rPr>
        <w:t xml:space="preserve">do not attempt to define deceptive practices or fraud, but merely declare unfair or </w:t>
      </w:r>
      <w:r w:rsidR="00D66749">
        <w:rPr>
          <w:b/>
          <w:i/>
          <w:sz w:val="24"/>
          <w:szCs w:val="24"/>
        </w:rPr>
        <w:tab/>
      </w:r>
      <w:r w:rsidR="00141C5E">
        <w:rPr>
          <w:b/>
          <w:i/>
          <w:sz w:val="24"/>
          <w:szCs w:val="24"/>
        </w:rPr>
        <w:t xml:space="preserve">deceptive acts or </w:t>
      </w:r>
      <w:r w:rsidRPr="00D66749">
        <w:rPr>
          <w:b/>
          <w:i/>
          <w:sz w:val="24"/>
          <w:szCs w:val="24"/>
        </w:rPr>
        <w:t>practices unlawful</w:t>
      </w:r>
      <w:r w:rsidRPr="00D66749">
        <w:rPr>
          <w:b/>
          <w:sz w:val="24"/>
          <w:szCs w:val="24"/>
        </w:rPr>
        <w:t>.</w:t>
      </w:r>
      <w:r w:rsidR="00D66749" w:rsidRPr="00D66749">
        <w:rPr>
          <w:b/>
          <w:sz w:val="24"/>
          <w:szCs w:val="24"/>
        </w:rPr>
        <w:t>”</w:t>
      </w:r>
      <w:r w:rsidR="00D66749" w:rsidRPr="0012547B">
        <w:rPr>
          <w:rStyle w:val="FootnoteReference"/>
          <w:sz w:val="24"/>
          <w:szCs w:val="24"/>
        </w:rPr>
        <w:footnoteReference w:id="14"/>
      </w:r>
    </w:p>
    <w:p w:rsidR="00324D20" w:rsidRDefault="00324D20" w:rsidP="00F64DF4">
      <w:pPr>
        <w:ind w:left="720" w:right="720"/>
        <w:jc w:val="both"/>
        <w:rPr>
          <w:b/>
          <w:sz w:val="24"/>
          <w:szCs w:val="24"/>
        </w:rPr>
      </w:pPr>
    </w:p>
    <w:p w:rsidR="00324D20" w:rsidRDefault="00324D20" w:rsidP="00F64DF4">
      <w:pPr>
        <w:ind w:left="720" w:right="720"/>
        <w:jc w:val="both"/>
        <w:rPr>
          <w:b/>
          <w:sz w:val="24"/>
          <w:szCs w:val="24"/>
        </w:rPr>
      </w:pPr>
    </w:p>
    <w:p w:rsidR="00324D20" w:rsidRPr="006A420C" w:rsidRDefault="00324D20" w:rsidP="00EC73BB">
      <w:pPr>
        <w:jc w:val="center"/>
        <w:rPr>
          <w:sz w:val="24"/>
          <w:szCs w:val="24"/>
        </w:rPr>
      </w:pPr>
      <w:r w:rsidRPr="002B2C72">
        <w:rPr>
          <w:b/>
          <w:sz w:val="28"/>
          <w:szCs w:val="28"/>
        </w:rPr>
        <w:t>2. How Has the Merchandising Practices Act Adapted to Continuing Changes in the Marketplace?</w:t>
      </w:r>
    </w:p>
    <w:p w:rsidR="00324D20" w:rsidRPr="002B2C72" w:rsidRDefault="00324D20" w:rsidP="00324D20">
      <w:pPr>
        <w:jc w:val="center"/>
        <w:rPr>
          <w:b/>
          <w:sz w:val="28"/>
          <w:szCs w:val="28"/>
          <w:u w:val="single"/>
        </w:rPr>
      </w:pPr>
      <w:r w:rsidRPr="002B2C72">
        <w:rPr>
          <w:b/>
          <w:sz w:val="28"/>
          <w:szCs w:val="28"/>
          <w:u w:val="single"/>
        </w:rPr>
        <w:t>The Evolution of the Act.</w:t>
      </w:r>
    </w:p>
    <w:p w:rsidR="00B55D96" w:rsidRDefault="00B55D96" w:rsidP="00BB6EA3">
      <w:pPr>
        <w:spacing w:line="360" w:lineRule="auto"/>
        <w:rPr>
          <w:sz w:val="24"/>
          <w:szCs w:val="24"/>
        </w:rPr>
      </w:pPr>
    </w:p>
    <w:p w:rsidR="00B55D96" w:rsidRPr="00B55D96" w:rsidRDefault="00B55D96" w:rsidP="00B55D96">
      <w:pPr>
        <w:spacing w:line="360" w:lineRule="auto"/>
        <w:jc w:val="center"/>
        <w:rPr>
          <w:b/>
          <w:sz w:val="24"/>
          <w:szCs w:val="24"/>
          <w:u w:val="single"/>
        </w:rPr>
      </w:pPr>
      <w:r w:rsidRPr="00B55D96">
        <w:rPr>
          <w:b/>
          <w:sz w:val="24"/>
          <w:szCs w:val="24"/>
          <w:u w:val="single"/>
        </w:rPr>
        <w:t>The 1985 Amendments</w:t>
      </w:r>
    </w:p>
    <w:p w:rsidR="000D4886" w:rsidRDefault="00CD571F" w:rsidP="00A83D60">
      <w:pPr>
        <w:spacing w:line="360" w:lineRule="auto"/>
        <w:rPr>
          <w:sz w:val="24"/>
          <w:szCs w:val="24"/>
        </w:rPr>
      </w:pPr>
      <w:r>
        <w:rPr>
          <w:sz w:val="24"/>
          <w:szCs w:val="24"/>
        </w:rPr>
        <w:tab/>
        <w:t>The next truly substantial</w:t>
      </w:r>
      <w:r w:rsidR="005C4840">
        <w:rPr>
          <w:sz w:val="24"/>
          <w:szCs w:val="24"/>
        </w:rPr>
        <w:t xml:space="preserve"> amendment</w:t>
      </w:r>
      <w:r w:rsidR="00A976E8">
        <w:rPr>
          <w:sz w:val="24"/>
          <w:szCs w:val="24"/>
        </w:rPr>
        <w:t>s</w:t>
      </w:r>
      <w:r w:rsidR="005C4840">
        <w:rPr>
          <w:sz w:val="24"/>
          <w:szCs w:val="24"/>
        </w:rPr>
        <w:t xml:space="preserve"> to the M</w:t>
      </w:r>
      <w:r w:rsidR="00EC7CBB">
        <w:rPr>
          <w:sz w:val="24"/>
          <w:szCs w:val="24"/>
        </w:rPr>
        <w:t>M</w:t>
      </w:r>
      <w:r w:rsidR="005C4840">
        <w:rPr>
          <w:sz w:val="24"/>
          <w:szCs w:val="24"/>
        </w:rPr>
        <w:t xml:space="preserve">PA </w:t>
      </w:r>
      <w:r w:rsidR="00A976E8">
        <w:rPr>
          <w:sz w:val="24"/>
          <w:szCs w:val="24"/>
        </w:rPr>
        <w:t xml:space="preserve">occurred in 1985. </w:t>
      </w:r>
      <w:r w:rsidR="00DB0FBD">
        <w:rPr>
          <w:sz w:val="24"/>
          <w:szCs w:val="24"/>
        </w:rPr>
        <w:t xml:space="preserve">While the right to a private cause of action </w:t>
      </w:r>
      <w:r w:rsidR="00B35AC5">
        <w:rPr>
          <w:sz w:val="24"/>
          <w:szCs w:val="24"/>
        </w:rPr>
        <w:t>would probably be</w:t>
      </w:r>
      <w:r w:rsidR="009E62A4">
        <w:rPr>
          <w:sz w:val="24"/>
          <w:szCs w:val="24"/>
        </w:rPr>
        <w:t xml:space="preserve"> considered the most important</w:t>
      </w:r>
      <w:r w:rsidR="00B35AC5">
        <w:rPr>
          <w:sz w:val="24"/>
          <w:szCs w:val="24"/>
        </w:rPr>
        <w:t xml:space="preserve"> addition to the </w:t>
      </w:r>
      <w:r w:rsidR="00E64F4A">
        <w:rPr>
          <w:sz w:val="24"/>
          <w:szCs w:val="24"/>
        </w:rPr>
        <w:t xml:space="preserve">Act relative to any given individual, </w:t>
      </w:r>
      <w:r w:rsidR="000D4886">
        <w:rPr>
          <w:sz w:val="24"/>
          <w:szCs w:val="24"/>
        </w:rPr>
        <w:t>the 1985 amendments may have been more expansive in aggregate</w:t>
      </w:r>
      <w:r w:rsidR="00BD3A70">
        <w:rPr>
          <w:sz w:val="24"/>
          <w:szCs w:val="24"/>
        </w:rPr>
        <w:t>, particularly with regard to scope of enforcement.</w:t>
      </w:r>
      <w:r w:rsidR="00CA453D">
        <w:rPr>
          <w:sz w:val="24"/>
          <w:szCs w:val="24"/>
        </w:rPr>
        <w:t xml:space="preserve"> </w:t>
      </w:r>
    </w:p>
    <w:p w:rsidR="00CA2906" w:rsidRDefault="00BD3A70" w:rsidP="006310F5">
      <w:pPr>
        <w:widowControl w:val="0"/>
        <w:spacing w:line="360" w:lineRule="auto"/>
        <w:rPr>
          <w:sz w:val="24"/>
          <w:szCs w:val="24"/>
        </w:rPr>
      </w:pPr>
      <w:r>
        <w:rPr>
          <w:sz w:val="24"/>
          <w:szCs w:val="24"/>
        </w:rPr>
        <w:tab/>
      </w:r>
      <w:r w:rsidR="00386AC1">
        <w:rPr>
          <w:sz w:val="24"/>
          <w:szCs w:val="24"/>
        </w:rPr>
        <w:t xml:space="preserve">Significantly, the 1985 version of § 407.020 </w:t>
      </w:r>
      <w:r w:rsidR="005076FF">
        <w:rPr>
          <w:sz w:val="24"/>
          <w:szCs w:val="24"/>
        </w:rPr>
        <w:t xml:space="preserve">enabled the Attorney General to prosecute </w:t>
      </w:r>
      <w:r w:rsidR="00487EFA">
        <w:rPr>
          <w:sz w:val="24"/>
          <w:szCs w:val="24"/>
        </w:rPr>
        <w:t>businesses for M</w:t>
      </w:r>
      <w:r w:rsidR="00EC7CBB">
        <w:rPr>
          <w:sz w:val="24"/>
          <w:szCs w:val="24"/>
        </w:rPr>
        <w:t>M</w:t>
      </w:r>
      <w:r w:rsidR="00487EFA">
        <w:rPr>
          <w:sz w:val="24"/>
          <w:szCs w:val="24"/>
        </w:rPr>
        <w:t xml:space="preserve">PA violations regardless of whether the businesses were domiciled </w:t>
      </w:r>
      <w:r w:rsidR="00042F6E">
        <w:rPr>
          <w:sz w:val="24"/>
          <w:szCs w:val="24"/>
        </w:rPr>
        <w:t xml:space="preserve">in Missouri and </w:t>
      </w:r>
      <w:r w:rsidR="007A2E00">
        <w:rPr>
          <w:sz w:val="24"/>
          <w:szCs w:val="24"/>
        </w:rPr>
        <w:t xml:space="preserve">utilizing unlawful practices </w:t>
      </w:r>
      <w:r w:rsidR="0050059B">
        <w:rPr>
          <w:sz w:val="24"/>
          <w:szCs w:val="24"/>
        </w:rPr>
        <w:t xml:space="preserve">against consumers outside the state or </w:t>
      </w:r>
      <w:r w:rsidR="001C747C">
        <w:rPr>
          <w:sz w:val="24"/>
          <w:szCs w:val="24"/>
        </w:rPr>
        <w:t>foreign and utilizing unlawful practices against Missouri consumers.</w:t>
      </w:r>
      <w:r w:rsidR="001C747C">
        <w:rPr>
          <w:rStyle w:val="FootnoteReference"/>
          <w:sz w:val="24"/>
          <w:szCs w:val="24"/>
        </w:rPr>
        <w:footnoteReference w:id="15"/>
      </w:r>
      <w:r w:rsidR="00831C31">
        <w:rPr>
          <w:sz w:val="24"/>
          <w:szCs w:val="24"/>
        </w:rPr>
        <w:t xml:space="preserve"> </w:t>
      </w:r>
      <w:r w:rsidR="00576D92">
        <w:rPr>
          <w:sz w:val="24"/>
          <w:szCs w:val="24"/>
        </w:rPr>
        <w:t xml:space="preserve">Perhaps </w:t>
      </w:r>
      <w:r w:rsidR="009E62A4">
        <w:rPr>
          <w:sz w:val="24"/>
          <w:szCs w:val="24"/>
        </w:rPr>
        <w:t xml:space="preserve">as significantly, the 1985 amendments </w:t>
      </w:r>
      <w:r w:rsidR="00166E97">
        <w:rPr>
          <w:sz w:val="24"/>
          <w:szCs w:val="24"/>
        </w:rPr>
        <w:t xml:space="preserve">also </w:t>
      </w:r>
      <w:r w:rsidR="0052769D">
        <w:rPr>
          <w:sz w:val="24"/>
          <w:szCs w:val="24"/>
        </w:rPr>
        <w:t xml:space="preserve">clarified that </w:t>
      </w:r>
      <w:r w:rsidR="00A0194D">
        <w:rPr>
          <w:sz w:val="24"/>
          <w:szCs w:val="24"/>
        </w:rPr>
        <w:t xml:space="preserve">§ 407.020 </w:t>
      </w:r>
      <w:r w:rsidR="00BE6AD4">
        <w:rPr>
          <w:sz w:val="24"/>
          <w:szCs w:val="24"/>
        </w:rPr>
        <w:t xml:space="preserve">pertained to unlawful acts committed “before, during, </w:t>
      </w:r>
      <w:r w:rsidR="00BE6AD4">
        <w:rPr>
          <w:sz w:val="24"/>
          <w:szCs w:val="24"/>
        </w:rPr>
        <w:lastRenderedPageBreak/>
        <w:t>or after the sale or advertisement”</w:t>
      </w:r>
      <w:r w:rsidR="00BE6AD4">
        <w:rPr>
          <w:rStyle w:val="FootnoteReference"/>
          <w:sz w:val="24"/>
          <w:szCs w:val="24"/>
        </w:rPr>
        <w:footnoteReference w:id="16"/>
      </w:r>
      <w:r w:rsidR="00BE6AD4">
        <w:rPr>
          <w:sz w:val="24"/>
          <w:szCs w:val="24"/>
        </w:rPr>
        <w:t xml:space="preserve">—thus, </w:t>
      </w:r>
      <w:r w:rsidR="00576D92">
        <w:rPr>
          <w:sz w:val="24"/>
          <w:szCs w:val="24"/>
        </w:rPr>
        <w:t>it became clear that jurisdiction over consumer fraud entailed a broad view relative to the advertising-to-sales consecution.</w:t>
      </w:r>
      <w:r w:rsidR="006310F5">
        <w:rPr>
          <w:sz w:val="24"/>
          <w:szCs w:val="24"/>
        </w:rPr>
        <w:t xml:space="preserve"> </w:t>
      </w:r>
      <w:r w:rsidR="009E62A4">
        <w:rPr>
          <w:sz w:val="24"/>
          <w:szCs w:val="24"/>
        </w:rPr>
        <w:t>The</w:t>
      </w:r>
      <w:r w:rsidR="006A10CB">
        <w:rPr>
          <w:sz w:val="24"/>
          <w:szCs w:val="24"/>
        </w:rPr>
        <w:t xml:space="preserve"> 1985 amendment</w:t>
      </w:r>
      <w:r w:rsidR="009E62A4">
        <w:rPr>
          <w:sz w:val="24"/>
          <w:szCs w:val="24"/>
        </w:rPr>
        <w:t>s</w:t>
      </w:r>
      <w:r w:rsidR="006A10CB">
        <w:rPr>
          <w:sz w:val="24"/>
          <w:szCs w:val="24"/>
        </w:rPr>
        <w:t xml:space="preserve"> </w:t>
      </w:r>
      <w:r w:rsidR="009E62A4">
        <w:rPr>
          <w:sz w:val="24"/>
          <w:szCs w:val="24"/>
        </w:rPr>
        <w:t xml:space="preserve">also </w:t>
      </w:r>
      <w:r w:rsidR="006A10CB">
        <w:rPr>
          <w:sz w:val="24"/>
          <w:szCs w:val="24"/>
        </w:rPr>
        <w:t xml:space="preserve">added the term “unlawful practice” </w:t>
      </w:r>
      <w:r w:rsidR="009806B0">
        <w:rPr>
          <w:sz w:val="24"/>
          <w:szCs w:val="24"/>
        </w:rPr>
        <w:t>so as to provide a definitional expansion capable of addressing a wider range of business practices, in keeping with the Federal Trade Commission Act.</w:t>
      </w:r>
      <w:r w:rsidR="009806B0">
        <w:rPr>
          <w:rStyle w:val="FootnoteReference"/>
          <w:sz w:val="24"/>
          <w:szCs w:val="24"/>
        </w:rPr>
        <w:footnoteReference w:id="17"/>
      </w:r>
    </w:p>
    <w:p w:rsidR="004A5F3D" w:rsidRDefault="00CA2906" w:rsidP="00A83D60">
      <w:pPr>
        <w:spacing w:line="360" w:lineRule="auto"/>
        <w:rPr>
          <w:sz w:val="24"/>
          <w:szCs w:val="24"/>
        </w:rPr>
      </w:pPr>
      <w:r>
        <w:rPr>
          <w:sz w:val="24"/>
          <w:szCs w:val="24"/>
        </w:rPr>
        <w:tab/>
        <w:t xml:space="preserve">The 1985 amendments, like others before and after, also included provisions </w:t>
      </w:r>
      <w:r w:rsidR="00A97437">
        <w:rPr>
          <w:sz w:val="24"/>
          <w:szCs w:val="24"/>
        </w:rPr>
        <w:t>targeting</w:t>
      </w:r>
      <w:r w:rsidR="006354E5">
        <w:rPr>
          <w:sz w:val="24"/>
          <w:szCs w:val="24"/>
        </w:rPr>
        <w:t xml:space="preserve"> a particular type of industry or business practice; </w:t>
      </w:r>
      <w:r w:rsidR="00BC0B50">
        <w:rPr>
          <w:sz w:val="24"/>
          <w:szCs w:val="24"/>
        </w:rPr>
        <w:t>in 1985, this was the timeshare industry.</w:t>
      </w:r>
      <w:r w:rsidR="00595BD3">
        <w:rPr>
          <w:rStyle w:val="FootnoteReference"/>
          <w:sz w:val="24"/>
          <w:szCs w:val="24"/>
        </w:rPr>
        <w:footnoteReference w:id="18"/>
      </w:r>
      <w:r w:rsidR="003F5642">
        <w:rPr>
          <w:sz w:val="24"/>
          <w:szCs w:val="24"/>
        </w:rPr>
        <w:t xml:space="preserve"> As Webster et al. note, </w:t>
      </w:r>
      <w:r w:rsidR="006C4AD4">
        <w:rPr>
          <w:sz w:val="24"/>
          <w:szCs w:val="24"/>
        </w:rPr>
        <w:t xml:space="preserve">the “Time-Share Act” was enacted in response to the </w:t>
      </w:r>
      <w:r w:rsidR="00A97437">
        <w:rPr>
          <w:sz w:val="24"/>
          <w:szCs w:val="24"/>
        </w:rPr>
        <w:t xml:space="preserve">Attorney General’s </w:t>
      </w:r>
      <w:r w:rsidR="00591734">
        <w:rPr>
          <w:sz w:val="24"/>
          <w:szCs w:val="24"/>
        </w:rPr>
        <w:t xml:space="preserve">realization of “a large increase in the number of complaints” relating to timeshare promotion and sales, with </w:t>
      </w:r>
      <w:r w:rsidR="00573A18">
        <w:rPr>
          <w:sz w:val="24"/>
          <w:szCs w:val="24"/>
        </w:rPr>
        <w:t>numerous allegations of “abuses, misrepresentations, and high-pressure sales tactics.”</w:t>
      </w:r>
      <w:r w:rsidR="00573A18">
        <w:rPr>
          <w:rStyle w:val="FootnoteReference"/>
          <w:sz w:val="24"/>
          <w:szCs w:val="24"/>
        </w:rPr>
        <w:footnoteReference w:id="19"/>
      </w:r>
    </w:p>
    <w:p w:rsidR="00FC741B" w:rsidRPr="00664A5E" w:rsidRDefault="00230D15" w:rsidP="00664A5E">
      <w:pPr>
        <w:spacing w:line="360" w:lineRule="auto"/>
        <w:rPr>
          <w:sz w:val="24"/>
          <w:szCs w:val="24"/>
        </w:rPr>
      </w:pPr>
      <w:r>
        <w:rPr>
          <w:sz w:val="24"/>
          <w:szCs w:val="24"/>
        </w:rPr>
        <w:tab/>
        <w:t>Interestingly, the 1985 amendments also included a criminal pr</w:t>
      </w:r>
      <w:r w:rsidR="003A3EBF">
        <w:rPr>
          <w:sz w:val="24"/>
          <w:szCs w:val="24"/>
        </w:rPr>
        <w:t>ovision</w:t>
      </w:r>
      <w:r w:rsidR="00455683">
        <w:rPr>
          <w:sz w:val="24"/>
          <w:szCs w:val="24"/>
        </w:rPr>
        <w:t>, which currently reads: “</w:t>
      </w:r>
      <w:r w:rsidR="00455683" w:rsidRPr="00455683">
        <w:rPr>
          <w:sz w:val="24"/>
          <w:szCs w:val="24"/>
        </w:rPr>
        <w:t xml:space="preserve">Any person who </w:t>
      </w:r>
      <w:r w:rsidR="00455683" w:rsidRPr="006C12EE">
        <w:rPr>
          <w:b/>
          <w:i/>
          <w:sz w:val="24"/>
          <w:szCs w:val="24"/>
        </w:rPr>
        <w:t>willfully and knowingly</w:t>
      </w:r>
      <w:r w:rsidR="00455683" w:rsidRPr="00455683">
        <w:rPr>
          <w:sz w:val="24"/>
          <w:szCs w:val="24"/>
        </w:rPr>
        <w:t xml:space="preserve"> engages in any act, use, employment or practice declared to be unlawful by this section with the </w:t>
      </w:r>
      <w:r w:rsidR="00455683" w:rsidRPr="006C12EE">
        <w:rPr>
          <w:b/>
          <w:i/>
          <w:sz w:val="24"/>
          <w:szCs w:val="24"/>
        </w:rPr>
        <w:t>intent to defraud</w:t>
      </w:r>
      <w:r w:rsidR="00455683" w:rsidRPr="00455683">
        <w:rPr>
          <w:sz w:val="24"/>
          <w:szCs w:val="24"/>
        </w:rPr>
        <w:t xml:space="preserve"> shall be guilty of a class E felony.</w:t>
      </w:r>
      <w:r w:rsidR="00455683">
        <w:rPr>
          <w:sz w:val="24"/>
          <w:szCs w:val="24"/>
        </w:rPr>
        <w:t>”</w:t>
      </w:r>
      <w:r w:rsidR="00455683">
        <w:rPr>
          <w:rStyle w:val="FootnoteReference"/>
          <w:sz w:val="24"/>
          <w:szCs w:val="24"/>
        </w:rPr>
        <w:footnoteReference w:id="20"/>
      </w:r>
      <w:r w:rsidR="00A54C1E">
        <w:rPr>
          <w:sz w:val="24"/>
          <w:szCs w:val="24"/>
        </w:rPr>
        <w:t xml:space="preserve"> While one can presume that Miss</w:t>
      </w:r>
      <w:r w:rsidR="000635BD">
        <w:rPr>
          <w:sz w:val="24"/>
          <w:szCs w:val="24"/>
        </w:rPr>
        <w:t>ouri priso</w:t>
      </w:r>
      <w:r w:rsidR="009131AD">
        <w:rPr>
          <w:sz w:val="24"/>
          <w:szCs w:val="24"/>
        </w:rPr>
        <w:t>ns and jails are not teeming</w:t>
      </w:r>
      <w:r w:rsidR="000635BD">
        <w:rPr>
          <w:sz w:val="24"/>
          <w:szCs w:val="24"/>
        </w:rPr>
        <w:t xml:space="preserve"> with inmates who have been convicted under the M</w:t>
      </w:r>
      <w:r w:rsidR="00E72542">
        <w:rPr>
          <w:sz w:val="24"/>
          <w:szCs w:val="24"/>
        </w:rPr>
        <w:t>M</w:t>
      </w:r>
      <w:r w:rsidR="000635BD">
        <w:rPr>
          <w:sz w:val="24"/>
          <w:szCs w:val="24"/>
        </w:rPr>
        <w:t xml:space="preserve">PA, </w:t>
      </w:r>
      <w:r w:rsidR="009C1425">
        <w:rPr>
          <w:sz w:val="24"/>
          <w:szCs w:val="24"/>
        </w:rPr>
        <w:t>this inclusion of a criminal provision clearly gave the M</w:t>
      </w:r>
      <w:r w:rsidR="00E72542">
        <w:rPr>
          <w:sz w:val="24"/>
          <w:szCs w:val="24"/>
        </w:rPr>
        <w:t>M</w:t>
      </w:r>
      <w:r w:rsidR="009C1425">
        <w:rPr>
          <w:sz w:val="24"/>
          <w:szCs w:val="24"/>
        </w:rPr>
        <w:t xml:space="preserve">PA sharper teeth with regard to bad-faith actors. </w:t>
      </w:r>
      <w:r w:rsidR="004C26DE">
        <w:rPr>
          <w:sz w:val="24"/>
          <w:szCs w:val="24"/>
        </w:rPr>
        <w:t>As the highlighted words indicate, criminal</w:t>
      </w:r>
      <w:r w:rsidR="009425DE">
        <w:rPr>
          <w:sz w:val="24"/>
          <w:szCs w:val="24"/>
        </w:rPr>
        <w:t xml:space="preserve"> charges require</w:t>
      </w:r>
      <w:r w:rsidR="004C26DE">
        <w:rPr>
          <w:sz w:val="24"/>
          <w:szCs w:val="24"/>
        </w:rPr>
        <w:t xml:space="preserve"> </w:t>
      </w:r>
      <w:r w:rsidR="004C26DE">
        <w:rPr>
          <w:i/>
          <w:sz w:val="24"/>
          <w:szCs w:val="24"/>
        </w:rPr>
        <w:t>mens rea</w:t>
      </w:r>
      <w:r w:rsidR="004C26DE">
        <w:rPr>
          <w:sz w:val="24"/>
          <w:szCs w:val="24"/>
        </w:rPr>
        <w:t xml:space="preserve">—the criminal provision is </w:t>
      </w:r>
      <w:r w:rsidR="009425DE">
        <w:rPr>
          <w:sz w:val="24"/>
          <w:szCs w:val="24"/>
        </w:rPr>
        <w:t xml:space="preserve">naturally </w:t>
      </w:r>
      <w:r w:rsidR="004C26DE">
        <w:rPr>
          <w:sz w:val="24"/>
          <w:szCs w:val="24"/>
        </w:rPr>
        <w:t xml:space="preserve">intended for businesses who </w:t>
      </w:r>
      <w:r w:rsidR="00895BDD">
        <w:rPr>
          <w:sz w:val="24"/>
          <w:szCs w:val="24"/>
        </w:rPr>
        <w:t xml:space="preserve">knowingly </w:t>
      </w:r>
      <w:r w:rsidR="009425DE">
        <w:rPr>
          <w:sz w:val="24"/>
          <w:szCs w:val="24"/>
        </w:rPr>
        <w:t xml:space="preserve">harm consumers in bad faith, not those who simply violate the civil provisions of the Act. </w:t>
      </w:r>
    </w:p>
    <w:p w:rsidR="005E4BF7" w:rsidRDefault="00574C16" w:rsidP="004C749F">
      <w:pPr>
        <w:spacing w:line="360" w:lineRule="auto"/>
        <w:rPr>
          <w:sz w:val="24"/>
          <w:szCs w:val="24"/>
        </w:rPr>
      </w:pPr>
      <w:r>
        <w:rPr>
          <w:sz w:val="24"/>
          <w:szCs w:val="24"/>
        </w:rPr>
        <w:tab/>
      </w:r>
      <w:r w:rsidR="00026D90">
        <w:rPr>
          <w:sz w:val="24"/>
          <w:szCs w:val="24"/>
        </w:rPr>
        <w:t>While the M</w:t>
      </w:r>
      <w:r w:rsidR="00EC7CBB">
        <w:rPr>
          <w:sz w:val="24"/>
          <w:szCs w:val="24"/>
        </w:rPr>
        <w:t>M</w:t>
      </w:r>
      <w:r w:rsidR="00026D90">
        <w:rPr>
          <w:sz w:val="24"/>
          <w:szCs w:val="24"/>
        </w:rPr>
        <w:t xml:space="preserve">PA’s expansionary heyday was during the 1970s and 1980s, it </w:t>
      </w:r>
      <w:r w:rsidR="0001005D">
        <w:rPr>
          <w:sz w:val="24"/>
          <w:szCs w:val="24"/>
        </w:rPr>
        <w:t>continued to evolve</w:t>
      </w:r>
      <w:r w:rsidR="002F7689">
        <w:rPr>
          <w:sz w:val="24"/>
          <w:szCs w:val="24"/>
        </w:rPr>
        <w:t xml:space="preserve"> slightly</w:t>
      </w:r>
      <w:r w:rsidR="0001005D">
        <w:rPr>
          <w:sz w:val="24"/>
          <w:szCs w:val="24"/>
        </w:rPr>
        <w:t xml:space="preserve"> during the 1990s</w:t>
      </w:r>
      <w:r w:rsidR="004C749F">
        <w:rPr>
          <w:sz w:val="24"/>
          <w:szCs w:val="24"/>
        </w:rPr>
        <w:t xml:space="preserve"> and into the 21st century</w:t>
      </w:r>
      <w:r w:rsidR="0001005D">
        <w:rPr>
          <w:sz w:val="24"/>
          <w:szCs w:val="24"/>
        </w:rPr>
        <w:t xml:space="preserve">. </w:t>
      </w:r>
      <w:r w:rsidR="00B547E9">
        <w:rPr>
          <w:sz w:val="24"/>
          <w:szCs w:val="24"/>
        </w:rPr>
        <w:t>The triggering language—§ 407.020—</w:t>
      </w:r>
      <w:r w:rsidR="004C749F">
        <w:rPr>
          <w:sz w:val="24"/>
          <w:szCs w:val="24"/>
        </w:rPr>
        <w:t xml:space="preserve">and other key sections were amended multiple times during the 1990s and 2000s. </w:t>
      </w:r>
      <w:r w:rsidR="00D858B5">
        <w:rPr>
          <w:sz w:val="24"/>
          <w:szCs w:val="24"/>
        </w:rPr>
        <w:t>These amendments generally reflected</w:t>
      </w:r>
      <w:r w:rsidR="00417791">
        <w:rPr>
          <w:sz w:val="24"/>
          <w:szCs w:val="24"/>
        </w:rPr>
        <w:t xml:space="preserve"> slight tweaks</w:t>
      </w:r>
      <w:r w:rsidR="00C66067">
        <w:rPr>
          <w:sz w:val="24"/>
          <w:szCs w:val="24"/>
        </w:rPr>
        <w:t xml:space="preserve"> to the Act, particularly </w:t>
      </w:r>
      <w:r w:rsidR="007A4A90">
        <w:rPr>
          <w:sz w:val="24"/>
          <w:szCs w:val="24"/>
        </w:rPr>
        <w:t xml:space="preserve">with regard to the state’s insurance and financial regulatory structure and the growth in telemarketing. </w:t>
      </w:r>
    </w:p>
    <w:p w:rsidR="00C16DB5" w:rsidRPr="00C16DB5" w:rsidRDefault="00C16DB5" w:rsidP="00EE4535">
      <w:pPr>
        <w:spacing w:line="360" w:lineRule="auto"/>
        <w:jc w:val="center"/>
        <w:rPr>
          <w:b/>
          <w:sz w:val="24"/>
          <w:szCs w:val="24"/>
          <w:u w:val="single"/>
        </w:rPr>
      </w:pPr>
      <w:r>
        <w:rPr>
          <w:b/>
          <w:sz w:val="24"/>
          <w:szCs w:val="24"/>
          <w:u w:val="single"/>
        </w:rPr>
        <w:t>1990s</w:t>
      </w:r>
    </w:p>
    <w:p w:rsidR="004B15C6" w:rsidRDefault="00917B9D" w:rsidP="004C749F">
      <w:pPr>
        <w:spacing w:line="360" w:lineRule="auto"/>
        <w:rPr>
          <w:sz w:val="24"/>
          <w:szCs w:val="24"/>
        </w:rPr>
      </w:pPr>
      <w:r>
        <w:rPr>
          <w:sz w:val="24"/>
          <w:szCs w:val="24"/>
        </w:rPr>
        <w:lastRenderedPageBreak/>
        <w:tab/>
      </w:r>
      <w:r w:rsidR="00153446">
        <w:rPr>
          <w:sz w:val="24"/>
          <w:szCs w:val="24"/>
        </w:rPr>
        <w:t>In 1992,</w:t>
      </w:r>
      <w:r w:rsidR="005F78DA">
        <w:rPr>
          <w:sz w:val="24"/>
          <w:szCs w:val="24"/>
        </w:rPr>
        <w:t xml:space="preserve"> in the immediate wake </w:t>
      </w:r>
      <w:r w:rsidR="009E62A4">
        <w:rPr>
          <w:sz w:val="24"/>
          <w:szCs w:val="24"/>
        </w:rPr>
        <w:t>of the savings and loan crisis,</w:t>
      </w:r>
      <w:r w:rsidR="00153446">
        <w:rPr>
          <w:sz w:val="24"/>
          <w:szCs w:val="24"/>
        </w:rPr>
        <w:t xml:space="preserve"> </w:t>
      </w:r>
      <w:r w:rsidR="00F209B7">
        <w:rPr>
          <w:sz w:val="24"/>
          <w:szCs w:val="24"/>
        </w:rPr>
        <w:t xml:space="preserve">the legislature </w:t>
      </w:r>
      <w:r w:rsidR="00325FF9">
        <w:rPr>
          <w:sz w:val="24"/>
          <w:szCs w:val="24"/>
        </w:rPr>
        <w:t>added</w:t>
      </w:r>
      <w:r w:rsidR="009E62A4">
        <w:rPr>
          <w:sz w:val="24"/>
          <w:szCs w:val="24"/>
        </w:rPr>
        <w:t xml:space="preserve"> </w:t>
      </w:r>
      <w:r w:rsidR="00EE412B">
        <w:rPr>
          <w:sz w:val="24"/>
          <w:szCs w:val="24"/>
        </w:rPr>
        <w:t>to § 407.020</w:t>
      </w:r>
      <w:r w:rsidR="00AA1DA1">
        <w:rPr>
          <w:sz w:val="24"/>
          <w:szCs w:val="24"/>
        </w:rPr>
        <w:t>(2)</w:t>
      </w:r>
      <w:r w:rsidR="00EE412B">
        <w:rPr>
          <w:sz w:val="24"/>
          <w:szCs w:val="24"/>
        </w:rPr>
        <w:t xml:space="preserve"> </w:t>
      </w:r>
      <w:r w:rsidR="009E62A4">
        <w:rPr>
          <w:sz w:val="24"/>
          <w:szCs w:val="24"/>
        </w:rPr>
        <w:t>languag</w:t>
      </w:r>
      <w:r w:rsidR="005F78DA">
        <w:rPr>
          <w:sz w:val="24"/>
          <w:szCs w:val="24"/>
        </w:rPr>
        <w:t>e pertaining to the exemptions for insurance and regulated financial firms</w:t>
      </w:r>
      <w:r w:rsidR="000E409C">
        <w:rPr>
          <w:sz w:val="24"/>
          <w:szCs w:val="24"/>
        </w:rPr>
        <w:t>;</w:t>
      </w:r>
      <w:r w:rsidR="00220D7D">
        <w:rPr>
          <w:sz w:val="24"/>
          <w:szCs w:val="24"/>
        </w:rPr>
        <w:t xml:space="preserve"> specifically, it provided for the possibility that the legislature</w:t>
      </w:r>
      <w:r w:rsidR="0094271C">
        <w:rPr>
          <w:sz w:val="24"/>
          <w:szCs w:val="24"/>
        </w:rPr>
        <w:t xml:space="preserve"> could enable via statute the Attorney General or private citizens </w:t>
      </w:r>
      <w:r w:rsidR="005F78DA">
        <w:rPr>
          <w:sz w:val="24"/>
          <w:szCs w:val="24"/>
        </w:rPr>
        <w:t>with the right to sue</w:t>
      </w:r>
      <w:r w:rsidR="00EE412B">
        <w:rPr>
          <w:sz w:val="24"/>
          <w:szCs w:val="24"/>
        </w:rPr>
        <w:t xml:space="preserve"> otherwise exempt companies under the M</w:t>
      </w:r>
      <w:r w:rsidR="00EC7CBB">
        <w:rPr>
          <w:sz w:val="24"/>
          <w:szCs w:val="24"/>
        </w:rPr>
        <w:t>M</w:t>
      </w:r>
      <w:r w:rsidR="00EE412B">
        <w:rPr>
          <w:sz w:val="24"/>
          <w:szCs w:val="24"/>
        </w:rPr>
        <w:t>PA.</w:t>
      </w:r>
      <w:r w:rsidR="00650ED9">
        <w:rPr>
          <w:rStyle w:val="FootnoteReference"/>
          <w:sz w:val="24"/>
          <w:szCs w:val="24"/>
        </w:rPr>
        <w:footnoteReference w:id="21"/>
      </w:r>
      <w:r w:rsidR="00EE412B">
        <w:rPr>
          <w:sz w:val="24"/>
          <w:szCs w:val="24"/>
        </w:rPr>
        <w:t xml:space="preserve"> </w:t>
      </w:r>
      <w:r w:rsidR="000F330B">
        <w:rPr>
          <w:sz w:val="24"/>
          <w:szCs w:val="24"/>
        </w:rPr>
        <w:t xml:space="preserve">In 1994, </w:t>
      </w:r>
      <w:r w:rsidR="00F209B7">
        <w:rPr>
          <w:sz w:val="24"/>
          <w:szCs w:val="24"/>
        </w:rPr>
        <w:t>the same section was amended to reflect that the division of savings an</w:t>
      </w:r>
      <w:r w:rsidR="00BC2E23">
        <w:rPr>
          <w:sz w:val="24"/>
          <w:szCs w:val="24"/>
        </w:rPr>
        <w:t>d loan was no longer an entity</w:t>
      </w:r>
      <w:r w:rsidR="00F209B7">
        <w:rPr>
          <w:sz w:val="24"/>
          <w:szCs w:val="24"/>
        </w:rPr>
        <w:t>.</w:t>
      </w:r>
      <w:r w:rsidR="00F209B7">
        <w:rPr>
          <w:rStyle w:val="FootnoteReference"/>
          <w:sz w:val="24"/>
          <w:szCs w:val="24"/>
        </w:rPr>
        <w:footnoteReference w:id="22"/>
      </w:r>
      <w:r w:rsidR="00DD6E82">
        <w:rPr>
          <w:sz w:val="24"/>
          <w:szCs w:val="24"/>
        </w:rPr>
        <w:t xml:space="preserve"> </w:t>
      </w:r>
      <w:r w:rsidR="00BC2E23">
        <w:rPr>
          <w:sz w:val="24"/>
          <w:szCs w:val="24"/>
        </w:rPr>
        <w:t xml:space="preserve"> </w:t>
      </w:r>
    </w:p>
    <w:p w:rsidR="00574C16" w:rsidRPr="004A4B14" w:rsidRDefault="00C16DB5" w:rsidP="004A4B14">
      <w:pPr>
        <w:spacing w:line="360" w:lineRule="auto"/>
        <w:jc w:val="center"/>
        <w:rPr>
          <w:b/>
          <w:sz w:val="24"/>
          <w:szCs w:val="24"/>
          <w:u w:val="single"/>
        </w:rPr>
      </w:pPr>
      <w:r w:rsidRPr="00C16DB5">
        <w:rPr>
          <w:b/>
          <w:sz w:val="24"/>
          <w:szCs w:val="24"/>
          <w:u w:val="single"/>
        </w:rPr>
        <w:t>2000s</w:t>
      </w:r>
    </w:p>
    <w:p w:rsidR="00CC0EF5" w:rsidRDefault="0063155E" w:rsidP="00A83D60">
      <w:pPr>
        <w:spacing w:line="360" w:lineRule="auto"/>
        <w:rPr>
          <w:sz w:val="24"/>
          <w:szCs w:val="24"/>
        </w:rPr>
      </w:pPr>
      <w:r>
        <w:rPr>
          <w:sz w:val="24"/>
          <w:szCs w:val="24"/>
        </w:rPr>
        <w:tab/>
      </w:r>
      <w:r w:rsidR="00DC54F7">
        <w:rPr>
          <w:sz w:val="24"/>
          <w:szCs w:val="24"/>
        </w:rPr>
        <w:t xml:space="preserve">In 2000, </w:t>
      </w:r>
      <w:r w:rsidR="004A4B14">
        <w:rPr>
          <w:sz w:val="24"/>
          <w:szCs w:val="24"/>
        </w:rPr>
        <w:t xml:space="preserve">Missouri’s legislature </w:t>
      </w:r>
      <w:r w:rsidR="00AA1DA1">
        <w:rPr>
          <w:sz w:val="24"/>
          <w:szCs w:val="24"/>
        </w:rPr>
        <w:t>again perfunctorily amended § 407.020(2) to reflect that there was now a division of credit unions.</w:t>
      </w:r>
      <w:r>
        <w:rPr>
          <w:rStyle w:val="FootnoteReference"/>
          <w:sz w:val="24"/>
          <w:szCs w:val="24"/>
        </w:rPr>
        <w:footnoteReference w:id="23"/>
      </w:r>
      <w:r w:rsidR="00AA1DA1">
        <w:rPr>
          <w:sz w:val="24"/>
          <w:szCs w:val="24"/>
        </w:rPr>
        <w:t xml:space="preserve"> It also addressed </w:t>
      </w:r>
      <w:r>
        <w:rPr>
          <w:sz w:val="24"/>
          <w:szCs w:val="24"/>
        </w:rPr>
        <w:t>a</w:t>
      </w:r>
      <w:r w:rsidR="003E46DE">
        <w:rPr>
          <w:sz w:val="24"/>
          <w:szCs w:val="24"/>
        </w:rPr>
        <w:t>nother industry/business practice that had generated undue complaints—telephone marketing—</w:t>
      </w:r>
      <w:r w:rsidR="005A4571">
        <w:rPr>
          <w:sz w:val="24"/>
          <w:szCs w:val="24"/>
        </w:rPr>
        <w:t>by creating a new set of laws under § 407 that specifically addressed that industry under the rubric of “Telecommunications Merchandising Practices” rather than the general language of § 407.020.</w:t>
      </w:r>
      <w:r w:rsidR="005A4571">
        <w:rPr>
          <w:rStyle w:val="FootnoteReference"/>
          <w:sz w:val="24"/>
          <w:szCs w:val="24"/>
        </w:rPr>
        <w:footnoteReference w:id="24"/>
      </w:r>
    </w:p>
    <w:p w:rsidR="00B35AC5" w:rsidRDefault="007A4A90" w:rsidP="00A83D60">
      <w:pPr>
        <w:spacing w:line="360" w:lineRule="auto"/>
        <w:rPr>
          <w:sz w:val="24"/>
          <w:szCs w:val="24"/>
        </w:rPr>
      </w:pPr>
      <w:r>
        <w:rPr>
          <w:sz w:val="24"/>
          <w:szCs w:val="24"/>
        </w:rPr>
        <w:tab/>
      </w:r>
      <w:r w:rsidR="00DC54F7">
        <w:rPr>
          <w:sz w:val="24"/>
          <w:szCs w:val="24"/>
        </w:rPr>
        <w:t xml:space="preserve">In 2008, </w:t>
      </w:r>
      <w:r w:rsidR="009B555D">
        <w:rPr>
          <w:sz w:val="24"/>
          <w:szCs w:val="24"/>
        </w:rPr>
        <w:t>the legislature amended § 407.020(2) yet again to reflect changes in the state’s regulato</w:t>
      </w:r>
      <w:r w:rsidR="00B322EC">
        <w:rPr>
          <w:sz w:val="24"/>
          <w:szCs w:val="24"/>
        </w:rPr>
        <w:t>ry-</w:t>
      </w:r>
      <w:r>
        <w:rPr>
          <w:sz w:val="24"/>
          <w:szCs w:val="24"/>
        </w:rPr>
        <w:t xml:space="preserve">legal </w:t>
      </w:r>
      <w:r w:rsidR="009B555D">
        <w:rPr>
          <w:sz w:val="24"/>
          <w:szCs w:val="24"/>
        </w:rPr>
        <w:t>structu</w:t>
      </w:r>
      <w:r>
        <w:rPr>
          <w:sz w:val="24"/>
          <w:szCs w:val="24"/>
        </w:rPr>
        <w:t xml:space="preserve">re, including the specification of the statutory chapters under which chartered, licensed, or otherwise regulated </w:t>
      </w:r>
      <w:r w:rsidR="008A6DA7">
        <w:rPr>
          <w:sz w:val="24"/>
          <w:szCs w:val="24"/>
        </w:rPr>
        <w:t>business entities would find their</w:t>
      </w:r>
      <w:r w:rsidR="001729D9">
        <w:rPr>
          <w:sz w:val="24"/>
          <w:szCs w:val="24"/>
        </w:rPr>
        <w:t xml:space="preserve"> exemptions from M</w:t>
      </w:r>
      <w:r w:rsidR="00EC7CBB">
        <w:rPr>
          <w:sz w:val="24"/>
          <w:szCs w:val="24"/>
        </w:rPr>
        <w:t>M</w:t>
      </w:r>
      <w:r w:rsidR="001729D9">
        <w:rPr>
          <w:sz w:val="24"/>
          <w:szCs w:val="24"/>
        </w:rPr>
        <w:t>PA liability.</w:t>
      </w:r>
      <w:r w:rsidR="001729D9">
        <w:rPr>
          <w:rStyle w:val="FootnoteReference"/>
          <w:sz w:val="24"/>
          <w:szCs w:val="24"/>
        </w:rPr>
        <w:footnoteReference w:id="25"/>
      </w:r>
    </w:p>
    <w:p w:rsidR="00F05316" w:rsidRDefault="00B35AC5" w:rsidP="00527833">
      <w:pPr>
        <w:spacing w:line="360" w:lineRule="auto"/>
        <w:rPr>
          <w:sz w:val="24"/>
          <w:szCs w:val="24"/>
        </w:rPr>
      </w:pPr>
      <w:r>
        <w:rPr>
          <w:sz w:val="24"/>
          <w:szCs w:val="24"/>
        </w:rPr>
        <w:tab/>
      </w:r>
      <w:r w:rsidR="000222CA">
        <w:rPr>
          <w:sz w:val="24"/>
          <w:szCs w:val="24"/>
        </w:rPr>
        <w:t>It is useful</w:t>
      </w:r>
      <w:r w:rsidR="00545F29">
        <w:rPr>
          <w:sz w:val="24"/>
          <w:szCs w:val="24"/>
        </w:rPr>
        <w:t xml:space="preserve"> to state</w:t>
      </w:r>
      <w:r w:rsidR="00A515A7">
        <w:rPr>
          <w:sz w:val="24"/>
          <w:szCs w:val="24"/>
        </w:rPr>
        <w:t xml:space="preserve"> that, as should be </w:t>
      </w:r>
      <w:r>
        <w:rPr>
          <w:sz w:val="24"/>
          <w:szCs w:val="24"/>
        </w:rPr>
        <w:t>evident based upon this brief history of the M</w:t>
      </w:r>
      <w:r w:rsidR="00EC7CBB">
        <w:rPr>
          <w:sz w:val="24"/>
          <w:szCs w:val="24"/>
        </w:rPr>
        <w:t>M</w:t>
      </w:r>
      <w:r>
        <w:rPr>
          <w:sz w:val="24"/>
          <w:szCs w:val="24"/>
        </w:rPr>
        <w:t xml:space="preserve">PA’s evolution, </w:t>
      </w:r>
      <w:r w:rsidR="00DC70BA" w:rsidRPr="00650121">
        <w:rPr>
          <w:b/>
          <w:bCs/>
          <w:sz w:val="24"/>
          <w:szCs w:val="24"/>
          <w:u w:val="single"/>
        </w:rPr>
        <w:t>the M</w:t>
      </w:r>
      <w:r w:rsidR="00EC7CBB" w:rsidRPr="00650121">
        <w:rPr>
          <w:b/>
          <w:bCs/>
          <w:sz w:val="24"/>
          <w:szCs w:val="24"/>
          <w:u w:val="single"/>
        </w:rPr>
        <w:t>M</w:t>
      </w:r>
      <w:r w:rsidR="00DC70BA" w:rsidRPr="00650121">
        <w:rPr>
          <w:b/>
          <w:bCs/>
          <w:sz w:val="24"/>
          <w:szCs w:val="24"/>
          <w:u w:val="single"/>
        </w:rPr>
        <w:t>PA has consistently responded to particular sub-industries that have</w:t>
      </w:r>
      <w:r w:rsidR="0040557B" w:rsidRPr="00650121">
        <w:rPr>
          <w:b/>
          <w:bCs/>
          <w:sz w:val="24"/>
          <w:szCs w:val="24"/>
          <w:u w:val="single"/>
        </w:rPr>
        <w:t xml:space="preserve"> often</w:t>
      </w:r>
      <w:r w:rsidR="00BC0B50" w:rsidRPr="00650121">
        <w:rPr>
          <w:b/>
          <w:bCs/>
          <w:sz w:val="24"/>
          <w:szCs w:val="24"/>
          <w:u w:val="single"/>
        </w:rPr>
        <w:t xml:space="preserve"> been notorious for predatory or high-pressure tactics</w:t>
      </w:r>
      <w:r w:rsidR="000E6966">
        <w:rPr>
          <w:sz w:val="24"/>
          <w:szCs w:val="24"/>
        </w:rPr>
        <w:t xml:space="preserve">. This has </w:t>
      </w:r>
      <w:r w:rsidR="00DC70BA">
        <w:rPr>
          <w:sz w:val="24"/>
          <w:szCs w:val="24"/>
        </w:rPr>
        <w:t xml:space="preserve">always included the shadier elements of used-car sales, </w:t>
      </w:r>
      <w:r w:rsidR="00E94031">
        <w:rPr>
          <w:sz w:val="24"/>
          <w:szCs w:val="24"/>
        </w:rPr>
        <w:t xml:space="preserve">but also </w:t>
      </w:r>
      <w:r w:rsidR="00777CB3">
        <w:rPr>
          <w:sz w:val="24"/>
          <w:szCs w:val="24"/>
        </w:rPr>
        <w:t xml:space="preserve">nuisance </w:t>
      </w:r>
      <w:r w:rsidR="00E94031">
        <w:rPr>
          <w:sz w:val="24"/>
          <w:szCs w:val="24"/>
        </w:rPr>
        <w:t xml:space="preserve">businesses involving door-to-door sales, timeshare sales, </w:t>
      </w:r>
      <w:r w:rsidR="00A82DA9">
        <w:rPr>
          <w:sz w:val="24"/>
          <w:szCs w:val="24"/>
        </w:rPr>
        <w:t xml:space="preserve">fraudulent charitable solicitations, </w:t>
      </w:r>
      <w:r w:rsidR="00E5201B">
        <w:rPr>
          <w:sz w:val="24"/>
          <w:szCs w:val="24"/>
        </w:rPr>
        <w:t xml:space="preserve">and telemarketing. </w:t>
      </w:r>
      <w:r w:rsidR="000E6966">
        <w:rPr>
          <w:sz w:val="24"/>
          <w:szCs w:val="24"/>
        </w:rPr>
        <w:t>I</w:t>
      </w:r>
      <w:r w:rsidR="00E94031">
        <w:rPr>
          <w:sz w:val="24"/>
          <w:szCs w:val="24"/>
        </w:rPr>
        <w:t xml:space="preserve">n addition to </w:t>
      </w:r>
      <w:r w:rsidR="00C43A60">
        <w:rPr>
          <w:sz w:val="24"/>
          <w:szCs w:val="24"/>
        </w:rPr>
        <w:t xml:space="preserve">persistent consumer issues with </w:t>
      </w:r>
      <w:r w:rsidR="00E94031">
        <w:rPr>
          <w:sz w:val="24"/>
          <w:szCs w:val="24"/>
        </w:rPr>
        <w:t xml:space="preserve">used-car sales, </w:t>
      </w:r>
      <w:r w:rsidR="00C43A60">
        <w:rPr>
          <w:sz w:val="24"/>
          <w:szCs w:val="24"/>
        </w:rPr>
        <w:t xml:space="preserve">recent years </w:t>
      </w:r>
      <w:r w:rsidR="00F956C3">
        <w:rPr>
          <w:sz w:val="24"/>
          <w:szCs w:val="24"/>
        </w:rPr>
        <w:t xml:space="preserve">have seen an uptick in subprime and payday lending activities. </w:t>
      </w:r>
    </w:p>
    <w:p w:rsidR="00F95AC8" w:rsidRDefault="000E6966" w:rsidP="005A4799">
      <w:pPr>
        <w:widowControl w:val="0"/>
        <w:spacing w:line="360" w:lineRule="auto"/>
        <w:rPr>
          <w:sz w:val="24"/>
          <w:szCs w:val="24"/>
        </w:rPr>
      </w:pPr>
      <w:r>
        <w:rPr>
          <w:sz w:val="24"/>
          <w:szCs w:val="24"/>
        </w:rPr>
        <w:tab/>
      </w:r>
      <w:r w:rsidR="007841C1">
        <w:rPr>
          <w:sz w:val="24"/>
          <w:szCs w:val="24"/>
        </w:rPr>
        <w:t>Broadly, those who attack the M</w:t>
      </w:r>
      <w:r w:rsidR="00EC7CBB">
        <w:rPr>
          <w:sz w:val="24"/>
          <w:szCs w:val="24"/>
        </w:rPr>
        <w:t>M</w:t>
      </w:r>
      <w:r w:rsidR="007841C1">
        <w:rPr>
          <w:sz w:val="24"/>
          <w:szCs w:val="24"/>
        </w:rPr>
        <w:t xml:space="preserve">PA as it currently exists have a tendency to, in a manner analogically similar to </w:t>
      </w:r>
      <w:r w:rsidR="00112D97">
        <w:rPr>
          <w:sz w:val="24"/>
          <w:szCs w:val="24"/>
        </w:rPr>
        <w:t xml:space="preserve">constitutional scholars that </w:t>
      </w:r>
      <w:r w:rsidR="000773C0">
        <w:rPr>
          <w:sz w:val="24"/>
          <w:szCs w:val="24"/>
        </w:rPr>
        <w:t xml:space="preserve">interpret according </w:t>
      </w:r>
      <w:r w:rsidR="003754CB">
        <w:rPr>
          <w:sz w:val="24"/>
          <w:szCs w:val="24"/>
        </w:rPr>
        <w:t xml:space="preserve">to </w:t>
      </w:r>
      <w:r w:rsidR="000773C0">
        <w:rPr>
          <w:sz w:val="24"/>
          <w:szCs w:val="24"/>
        </w:rPr>
        <w:t>original intent</w:t>
      </w:r>
      <w:r w:rsidR="009752B8">
        <w:rPr>
          <w:sz w:val="24"/>
          <w:szCs w:val="24"/>
        </w:rPr>
        <w:t xml:space="preserve">, </w:t>
      </w:r>
      <w:r w:rsidR="00382757">
        <w:rPr>
          <w:sz w:val="24"/>
          <w:szCs w:val="24"/>
        </w:rPr>
        <w:t>operate under</w:t>
      </w:r>
      <w:r w:rsidR="00651D2A">
        <w:rPr>
          <w:sz w:val="24"/>
          <w:szCs w:val="24"/>
        </w:rPr>
        <w:t xml:space="preserve"> the </w:t>
      </w:r>
      <w:r w:rsidR="00E72542">
        <w:rPr>
          <w:sz w:val="24"/>
          <w:szCs w:val="24"/>
        </w:rPr>
        <w:t xml:space="preserve">maudlin </w:t>
      </w:r>
      <w:r w:rsidR="00651D2A">
        <w:rPr>
          <w:sz w:val="24"/>
          <w:szCs w:val="24"/>
        </w:rPr>
        <w:t>impression that recent M</w:t>
      </w:r>
      <w:r w:rsidR="00EC7CBB">
        <w:rPr>
          <w:sz w:val="24"/>
          <w:szCs w:val="24"/>
        </w:rPr>
        <w:t>M</w:t>
      </w:r>
      <w:r w:rsidR="00651D2A">
        <w:rPr>
          <w:sz w:val="24"/>
          <w:szCs w:val="24"/>
        </w:rPr>
        <w:t xml:space="preserve">PA legislation and jurisprudence has </w:t>
      </w:r>
      <w:r w:rsidR="00651D2A">
        <w:rPr>
          <w:sz w:val="24"/>
          <w:szCs w:val="24"/>
        </w:rPr>
        <w:lastRenderedPageBreak/>
        <w:t>strayed</w:t>
      </w:r>
      <w:r w:rsidR="00527833">
        <w:rPr>
          <w:sz w:val="24"/>
          <w:szCs w:val="24"/>
        </w:rPr>
        <w:t xml:space="preserve"> from the intent of the M</w:t>
      </w:r>
      <w:r w:rsidR="00EC7CBB">
        <w:rPr>
          <w:sz w:val="24"/>
          <w:szCs w:val="24"/>
        </w:rPr>
        <w:t>M</w:t>
      </w:r>
      <w:r w:rsidR="00527833">
        <w:rPr>
          <w:sz w:val="24"/>
          <w:szCs w:val="24"/>
        </w:rPr>
        <w:t xml:space="preserve">PA’s </w:t>
      </w:r>
      <w:r w:rsidR="00AF111C">
        <w:rPr>
          <w:sz w:val="24"/>
          <w:szCs w:val="24"/>
        </w:rPr>
        <w:t xml:space="preserve">original </w:t>
      </w:r>
      <w:r w:rsidR="00527833">
        <w:rPr>
          <w:sz w:val="24"/>
          <w:szCs w:val="24"/>
        </w:rPr>
        <w:t>framers.</w:t>
      </w:r>
      <w:r w:rsidR="009752B8">
        <w:rPr>
          <w:rStyle w:val="FootnoteReference"/>
          <w:sz w:val="24"/>
          <w:szCs w:val="24"/>
        </w:rPr>
        <w:footnoteReference w:id="26"/>
      </w:r>
      <w:r w:rsidR="00527833">
        <w:rPr>
          <w:sz w:val="24"/>
          <w:szCs w:val="24"/>
        </w:rPr>
        <w:t xml:space="preserve"> </w:t>
      </w:r>
      <w:r w:rsidR="00F05316">
        <w:rPr>
          <w:sz w:val="24"/>
          <w:szCs w:val="24"/>
        </w:rPr>
        <w:t xml:space="preserve">However, as has been described, </w:t>
      </w:r>
      <w:r w:rsidR="00382757">
        <w:rPr>
          <w:b/>
          <w:i/>
          <w:sz w:val="24"/>
          <w:szCs w:val="24"/>
        </w:rPr>
        <w:t>the M</w:t>
      </w:r>
      <w:r w:rsidR="00EC7CBB">
        <w:rPr>
          <w:b/>
          <w:i/>
          <w:sz w:val="24"/>
          <w:szCs w:val="24"/>
        </w:rPr>
        <w:t>M</w:t>
      </w:r>
      <w:r w:rsidR="00382757">
        <w:rPr>
          <w:b/>
          <w:i/>
          <w:sz w:val="24"/>
          <w:szCs w:val="24"/>
        </w:rPr>
        <w:t>PA has long</w:t>
      </w:r>
      <w:r w:rsidR="00F05316">
        <w:rPr>
          <w:b/>
          <w:i/>
          <w:sz w:val="24"/>
          <w:szCs w:val="24"/>
        </w:rPr>
        <w:t xml:space="preserve"> been a living statute geared towards an evolving marketplace and abuses</w:t>
      </w:r>
      <w:r w:rsidR="00F05316">
        <w:rPr>
          <w:sz w:val="24"/>
          <w:szCs w:val="24"/>
        </w:rPr>
        <w:t xml:space="preserve">. </w:t>
      </w:r>
      <w:r w:rsidR="0040557B">
        <w:rPr>
          <w:sz w:val="24"/>
          <w:szCs w:val="24"/>
        </w:rPr>
        <w:t>A</w:t>
      </w:r>
      <w:r w:rsidR="008D6CDD">
        <w:rPr>
          <w:sz w:val="24"/>
          <w:szCs w:val="24"/>
        </w:rPr>
        <w:t xml:space="preserve">s </w:t>
      </w:r>
      <w:r w:rsidR="0040557B">
        <w:rPr>
          <w:sz w:val="24"/>
          <w:szCs w:val="24"/>
        </w:rPr>
        <w:t xml:space="preserve">the </w:t>
      </w:r>
      <w:r w:rsidR="0040557B">
        <w:rPr>
          <w:i/>
          <w:sz w:val="24"/>
          <w:szCs w:val="24"/>
        </w:rPr>
        <w:t>Danforth</w:t>
      </w:r>
      <w:r w:rsidR="0040557B">
        <w:rPr>
          <w:sz w:val="24"/>
          <w:szCs w:val="24"/>
        </w:rPr>
        <w:t xml:space="preserve"> c</w:t>
      </w:r>
      <w:r w:rsidR="008D6CDD">
        <w:rPr>
          <w:sz w:val="24"/>
          <w:szCs w:val="24"/>
        </w:rPr>
        <w:t>ourt averred</w:t>
      </w:r>
      <w:r w:rsidR="00AB3758">
        <w:rPr>
          <w:sz w:val="24"/>
          <w:szCs w:val="24"/>
        </w:rPr>
        <w:t xml:space="preserve"> </w:t>
      </w:r>
      <w:r w:rsidR="00AB3758" w:rsidRPr="00EC7CBB">
        <w:rPr>
          <w:i/>
          <w:sz w:val="24"/>
          <w:szCs w:val="24"/>
          <w:u w:val="single"/>
        </w:rPr>
        <w:t>in 1973</w:t>
      </w:r>
      <w:r w:rsidR="00310632">
        <w:rPr>
          <w:sz w:val="24"/>
          <w:szCs w:val="24"/>
        </w:rPr>
        <w:t>, the M</w:t>
      </w:r>
      <w:r w:rsidR="00EC7CBB">
        <w:rPr>
          <w:sz w:val="24"/>
          <w:szCs w:val="24"/>
        </w:rPr>
        <w:t>M</w:t>
      </w:r>
      <w:r w:rsidR="00310632">
        <w:rPr>
          <w:sz w:val="24"/>
          <w:szCs w:val="24"/>
        </w:rPr>
        <w:t xml:space="preserve">PA intentionally avoided providing a specific list of </w:t>
      </w:r>
      <w:r w:rsidR="00382757">
        <w:rPr>
          <w:sz w:val="24"/>
          <w:szCs w:val="24"/>
        </w:rPr>
        <w:t xml:space="preserve">proscribed acts because doing so would provide a fixed target </w:t>
      </w:r>
      <w:r w:rsidR="008D6CDD">
        <w:rPr>
          <w:sz w:val="24"/>
          <w:szCs w:val="24"/>
        </w:rPr>
        <w:t>that could be more easily manipulated by bad actors</w:t>
      </w:r>
      <w:r w:rsidR="00382757">
        <w:rPr>
          <w:sz w:val="24"/>
          <w:szCs w:val="24"/>
        </w:rPr>
        <w:t>.</w:t>
      </w:r>
      <w:r w:rsidR="00382757">
        <w:rPr>
          <w:rStyle w:val="FootnoteReference"/>
          <w:sz w:val="24"/>
          <w:szCs w:val="24"/>
        </w:rPr>
        <w:footnoteReference w:id="27"/>
      </w:r>
      <w:r w:rsidR="008D6CDD">
        <w:rPr>
          <w:sz w:val="24"/>
          <w:szCs w:val="24"/>
        </w:rPr>
        <w:t xml:space="preserve"> </w:t>
      </w:r>
      <w:r w:rsidR="00366715">
        <w:rPr>
          <w:sz w:val="24"/>
          <w:szCs w:val="24"/>
        </w:rPr>
        <w:t>Indeed, the greatest expansions in the M</w:t>
      </w:r>
      <w:r w:rsidR="00EC7CBB">
        <w:rPr>
          <w:sz w:val="24"/>
          <w:szCs w:val="24"/>
        </w:rPr>
        <w:t>M</w:t>
      </w:r>
      <w:r w:rsidR="00366715">
        <w:rPr>
          <w:sz w:val="24"/>
          <w:szCs w:val="24"/>
        </w:rPr>
        <w:t xml:space="preserve">PA occurred over thirty years ago </w:t>
      </w:r>
      <w:r w:rsidR="005A4799">
        <w:rPr>
          <w:sz w:val="24"/>
          <w:szCs w:val="24"/>
        </w:rPr>
        <w:t xml:space="preserve">and it is not at all evident that current applications of the Act have strayed far from the legislature’s original contemplation, whenever and whatever exactly that may have been. </w:t>
      </w:r>
    </w:p>
    <w:p w:rsidR="00366715" w:rsidRDefault="00366715" w:rsidP="00521C35">
      <w:pPr>
        <w:jc w:val="center"/>
        <w:rPr>
          <w:b/>
          <w:sz w:val="28"/>
          <w:szCs w:val="28"/>
        </w:rPr>
      </w:pPr>
    </w:p>
    <w:p w:rsidR="002B2C72" w:rsidRPr="00101F0B" w:rsidRDefault="002B2C72" w:rsidP="00521C35">
      <w:pPr>
        <w:jc w:val="center"/>
        <w:rPr>
          <w:b/>
          <w:sz w:val="28"/>
          <w:szCs w:val="28"/>
        </w:rPr>
      </w:pPr>
      <w:r w:rsidRPr="00101F0B">
        <w:rPr>
          <w:b/>
          <w:sz w:val="28"/>
          <w:szCs w:val="28"/>
        </w:rPr>
        <w:t xml:space="preserve">3. </w:t>
      </w:r>
      <w:r w:rsidR="00101F0B" w:rsidRPr="00101F0B">
        <w:rPr>
          <w:b/>
          <w:sz w:val="28"/>
          <w:szCs w:val="28"/>
        </w:rPr>
        <w:t xml:space="preserve">Is the Missouri Merchandising Practices Act Still Important? </w:t>
      </w:r>
    </w:p>
    <w:p w:rsidR="000D08D6" w:rsidRPr="00101F0B" w:rsidRDefault="000D08D6" w:rsidP="000D08D6">
      <w:pPr>
        <w:jc w:val="center"/>
        <w:rPr>
          <w:b/>
          <w:sz w:val="28"/>
          <w:szCs w:val="28"/>
          <w:u w:val="single"/>
        </w:rPr>
      </w:pPr>
      <w:r w:rsidRPr="00101F0B">
        <w:rPr>
          <w:b/>
          <w:sz w:val="28"/>
          <w:szCs w:val="28"/>
          <w:u w:val="single"/>
        </w:rPr>
        <w:t>The Current State of the Act.</w:t>
      </w:r>
    </w:p>
    <w:p w:rsidR="008D6475" w:rsidRPr="00101F0B" w:rsidRDefault="008D6475" w:rsidP="000D08D6">
      <w:pPr>
        <w:jc w:val="center"/>
        <w:rPr>
          <w:b/>
          <w:sz w:val="28"/>
          <w:szCs w:val="28"/>
          <w:u w:val="single"/>
        </w:rPr>
      </w:pPr>
    </w:p>
    <w:p w:rsidR="00BC1864" w:rsidRDefault="008D6475" w:rsidP="008450D5">
      <w:pPr>
        <w:spacing w:line="360" w:lineRule="auto"/>
        <w:rPr>
          <w:sz w:val="24"/>
          <w:szCs w:val="24"/>
        </w:rPr>
      </w:pPr>
      <w:r>
        <w:rPr>
          <w:sz w:val="24"/>
          <w:szCs w:val="24"/>
        </w:rPr>
        <w:tab/>
      </w:r>
      <w:r w:rsidRPr="00EC7CBB">
        <w:rPr>
          <w:b/>
          <w:bCs/>
          <w:sz w:val="24"/>
          <w:szCs w:val="24"/>
          <w:u w:val="single"/>
        </w:rPr>
        <w:t>Is the M</w:t>
      </w:r>
      <w:r w:rsidR="00EC7CBB" w:rsidRPr="00EC7CBB">
        <w:rPr>
          <w:b/>
          <w:bCs/>
          <w:sz w:val="24"/>
          <w:szCs w:val="24"/>
          <w:u w:val="single"/>
        </w:rPr>
        <w:t>M</w:t>
      </w:r>
      <w:r w:rsidRPr="00EC7CBB">
        <w:rPr>
          <w:b/>
          <w:bCs/>
          <w:sz w:val="24"/>
          <w:szCs w:val="24"/>
          <w:u w:val="single"/>
        </w:rPr>
        <w:t xml:space="preserve">PA still important? The short answer is </w:t>
      </w:r>
      <w:r w:rsidR="00EC7CBB" w:rsidRPr="00EC7CBB">
        <w:rPr>
          <w:b/>
          <w:bCs/>
          <w:i/>
          <w:sz w:val="24"/>
          <w:szCs w:val="24"/>
          <w:u w:val="single"/>
        </w:rPr>
        <w:t>absolutely</w:t>
      </w:r>
      <w:r>
        <w:rPr>
          <w:sz w:val="24"/>
          <w:szCs w:val="24"/>
        </w:rPr>
        <w:t xml:space="preserve">. Indeed, the case can be made that, because of a combination of increased </w:t>
      </w:r>
      <w:r w:rsidR="004E0A06">
        <w:rPr>
          <w:sz w:val="24"/>
          <w:szCs w:val="24"/>
        </w:rPr>
        <w:t xml:space="preserve">deployment and enforcement of arbitration agreements (which are </w:t>
      </w:r>
      <w:r w:rsidR="00C93E6D">
        <w:rPr>
          <w:sz w:val="24"/>
          <w:szCs w:val="24"/>
        </w:rPr>
        <w:t xml:space="preserve">usually </w:t>
      </w:r>
      <w:r w:rsidR="00251598">
        <w:rPr>
          <w:sz w:val="24"/>
          <w:szCs w:val="24"/>
        </w:rPr>
        <w:t>contained in th</w:t>
      </w:r>
      <w:r w:rsidR="00C93E6D">
        <w:rPr>
          <w:sz w:val="24"/>
          <w:szCs w:val="24"/>
        </w:rPr>
        <w:t>e fine print</w:t>
      </w:r>
      <w:r w:rsidR="00251598">
        <w:rPr>
          <w:sz w:val="24"/>
          <w:szCs w:val="24"/>
        </w:rPr>
        <w:t xml:space="preserve"> and </w:t>
      </w:r>
      <w:r w:rsidR="00D6544D">
        <w:rPr>
          <w:sz w:val="24"/>
          <w:szCs w:val="24"/>
        </w:rPr>
        <w:t xml:space="preserve">probably </w:t>
      </w:r>
      <w:r w:rsidR="00251598">
        <w:rPr>
          <w:sz w:val="24"/>
          <w:szCs w:val="24"/>
        </w:rPr>
        <w:t>favorable to business in aggregate)</w:t>
      </w:r>
      <w:r w:rsidR="001104DD">
        <w:rPr>
          <w:sz w:val="24"/>
          <w:szCs w:val="24"/>
        </w:rPr>
        <w:t xml:space="preserve">, </w:t>
      </w:r>
      <w:r w:rsidR="00F859FB">
        <w:rPr>
          <w:sz w:val="24"/>
          <w:szCs w:val="24"/>
        </w:rPr>
        <w:t>intensified</w:t>
      </w:r>
      <w:r w:rsidR="001104DD">
        <w:rPr>
          <w:sz w:val="24"/>
          <w:szCs w:val="24"/>
        </w:rPr>
        <w:t xml:space="preserve"> subprime lending, </w:t>
      </w:r>
      <w:r w:rsidR="00F859FB">
        <w:rPr>
          <w:sz w:val="24"/>
          <w:szCs w:val="24"/>
        </w:rPr>
        <w:t>complex and diffuse production of consumer goods across global supply chains</w:t>
      </w:r>
      <w:r w:rsidR="004E0A06">
        <w:rPr>
          <w:sz w:val="24"/>
          <w:szCs w:val="24"/>
        </w:rPr>
        <w:t>,</w:t>
      </w:r>
      <w:r w:rsidR="00E16D09">
        <w:rPr>
          <w:sz w:val="24"/>
          <w:szCs w:val="24"/>
        </w:rPr>
        <w:t xml:space="preserve"> intensified debt collection and consumer reporting practices,</w:t>
      </w:r>
      <w:r w:rsidR="003974DA">
        <w:rPr>
          <w:sz w:val="24"/>
          <w:szCs w:val="24"/>
        </w:rPr>
        <w:t xml:space="preserve"> </w:t>
      </w:r>
      <w:r w:rsidR="004E0A06">
        <w:rPr>
          <w:sz w:val="24"/>
          <w:szCs w:val="24"/>
        </w:rPr>
        <w:t>and the general decline of the American middle class</w:t>
      </w:r>
      <w:r w:rsidR="00521C35">
        <w:rPr>
          <w:sz w:val="24"/>
          <w:szCs w:val="24"/>
        </w:rPr>
        <w:t>, the protections offered by the M</w:t>
      </w:r>
      <w:r w:rsidR="00A31982">
        <w:rPr>
          <w:sz w:val="24"/>
          <w:szCs w:val="24"/>
        </w:rPr>
        <w:t>M</w:t>
      </w:r>
      <w:r w:rsidR="00521C35">
        <w:rPr>
          <w:sz w:val="24"/>
          <w:szCs w:val="24"/>
        </w:rPr>
        <w:t>PA are as crucial as ever</w:t>
      </w:r>
      <w:r w:rsidR="000D4C94">
        <w:rPr>
          <w:sz w:val="24"/>
          <w:szCs w:val="24"/>
        </w:rPr>
        <w:t xml:space="preserve">. In short, </w:t>
      </w:r>
      <w:r w:rsidR="006332D2">
        <w:rPr>
          <w:sz w:val="24"/>
          <w:szCs w:val="24"/>
        </w:rPr>
        <w:t xml:space="preserve">the </w:t>
      </w:r>
      <w:r w:rsidR="00CA05BC">
        <w:rPr>
          <w:sz w:val="24"/>
          <w:szCs w:val="24"/>
        </w:rPr>
        <w:t>core reasons behind</w:t>
      </w:r>
      <w:r w:rsidR="006332D2">
        <w:rPr>
          <w:sz w:val="24"/>
          <w:szCs w:val="24"/>
        </w:rPr>
        <w:t xml:space="preserve"> the</w:t>
      </w:r>
      <w:r w:rsidR="000C367F">
        <w:rPr>
          <w:sz w:val="24"/>
          <w:szCs w:val="24"/>
        </w:rPr>
        <w:t xml:space="preserve"> M</w:t>
      </w:r>
      <w:r w:rsidR="00A31982">
        <w:rPr>
          <w:sz w:val="24"/>
          <w:szCs w:val="24"/>
        </w:rPr>
        <w:t>M</w:t>
      </w:r>
      <w:r w:rsidR="000C367F">
        <w:rPr>
          <w:sz w:val="24"/>
          <w:szCs w:val="24"/>
        </w:rPr>
        <w:t xml:space="preserve">PA’s enactment clearly persist and new </w:t>
      </w:r>
      <w:r w:rsidR="008F0CE3">
        <w:rPr>
          <w:sz w:val="24"/>
          <w:szCs w:val="24"/>
        </w:rPr>
        <w:t>reasons justifying its broad construction</w:t>
      </w:r>
      <w:r w:rsidR="000C367F">
        <w:rPr>
          <w:sz w:val="24"/>
          <w:szCs w:val="24"/>
        </w:rPr>
        <w:t xml:space="preserve"> have evolved in the decades since its enactment. </w:t>
      </w:r>
    </w:p>
    <w:p w:rsidR="00E83E80" w:rsidRPr="00E83E80" w:rsidRDefault="00E83E80" w:rsidP="00595214">
      <w:pPr>
        <w:spacing w:line="360" w:lineRule="auto"/>
        <w:jc w:val="center"/>
        <w:rPr>
          <w:b/>
          <w:sz w:val="24"/>
          <w:szCs w:val="24"/>
          <w:u w:val="single"/>
        </w:rPr>
      </w:pPr>
      <w:r w:rsidRPr="00E83E80">
        <w:rPr>
          <w:b/>
          <w:sz w:val="24"/>
          <w:szCs w:val="24"/>
          <w:u w:val="single"/>
        </w:rPr>
        <w:t>The M</w:t>
      </w:r>
      <w:r w:rsidR="00F25255">
        <w:rPr>
          <w:b/>
          <w:sz w:val="24"/>
          <w:szCs w:val="24"/>
          <w:u w:val="single"/>
        </w:rPr>
        <w:t>M</w:t>
      </w:r>
      <w:r w:rsidRPr="00E83E80">
        <w:rPr>
          <w:b/>
          <w:sz w:val="24"/>
          <w:szCs w:val="24"/>
          <w:u w:val="single"/>
        </w:rPr>
        <w:t>PA Under Attack</w:t>
      </w:r>
    </w:p>
    <w:p w:rsidR="00BC1864" w:rsidRDefault="008D6475" w:rsidP="00AA16D5">
      <w:pPr>
        <w:widowControl w:val="0"/>
        <w:spacing w:line="360" w:lineRule="auto"/>
        <w:rPr>
          <w:b/>
          <w:sz w:val="24"/>
          <w:szCs w:val="24"/>
          <w:u w:val="single"/>
        </w:rPr>
      </w:pPr>
      <w:r>
        <w:rPr>
          <w:sz w:val="24"/>
          <w:szCs w:val="24"/>
        </w:rPr>
        <w:tab/>
        <w:t xml:space="preserve">Despite its importance to the ordinary </w:t>
      </w:r>
      <w:r w:rsidR="003E5ECF">
        <w:rPr>
          <w:sz w:val="24"/>
          <w:szCs w:val="24"/>
        </w:rPr>
        <w:t xml:space="preserve">Missouri </w:t>
      </w:r>
      <w:r>
        <w:rPr>
          <w:sz w:val="24"/>
          <w:szCs w:val="24"/>
        </w:rPr>
        <w:t xml:space="preserve">consumer, </w:t>
      </w:r>
      <w:r w:rsidR="00AC2850">
        <w:rPr>
          <w:sz w:val="24"/>
          <w:szCs w:val="24"/>
        </w:rPr>
        <w:t>the M</w:t>
      </w:r>
      <w:r w:rsidR="00A31982">
        <w:rPr>
          <w:sz w:val="24"/>
          <w:szCs w:val="24"/>
        </w:rPr>
        <w:t>M</w:t>
      </w:r>
      <w:r w:rsidR="00AC2850">
        <w:rPr>
          <w:sz w:val="24"/>
          <w:szCs w:val="24"/>
        </w:rPr>
        <w:t xml:space="preserve">PA has been under attack recently by various Missouri legislators </w:t>
      </w:r>
      <w:r w:rsidR="000817D6">
        <w:rPr>
          <w:sz w:val="24"/>
          <w:szCs w:val="24"/>
        </w:rPr>
        <w:t>and the lobbies supporting them.</w:t>
      </w:r>
      <w:r w:rsidR="000817D6">
        <w:rPr>
          <w:rStyle w:val="FootnoteReference"/>
          <w:sz w:val="24"/>
          <w:szCs w:val="24"/>
        </w:rPr>
        <w:footnoteReference w:id="28"/>
      </w:r>
      <w:r w:rsidR="0056666A">
        <w:rPr>
          <w:sz w:val="24"/>
          <w:szCs w:val="24"/>
        </w:rPr>
        <w:t xml:space="preserve"> T</w:t>
      </w:r>
      <w:r w:rsidR="00251598">
        <w:rPr>
          <w:sz w:val="24"/>
          <w:szCs w:val="24"/>
        </w:rPr>
        <w:t xml:space="preserve">he primary impetus behind the most recent iteration </w:t>
      </w:r>
      <w:r w:rsidR="0056666A">
        <w:rPr>
          <w:sz w:val="24"/>
          <w:szCs w:val="24"/>
        </w:rPr>
        <w:t xml:space="preserve">of this attack </w:t>
      </w:r>
      <w:r w:rsidR="00C256B2">
        <w:rPr>
          <w:sz w:val="24"/>
          <w:szCs w:val="24"/>
        </w:rPr>
        <w:t>wa</w:t>
      </w:r>
      <w:r w:rsidR="0056666A">
        <w:rPr>
          <w:sz w:val="24"/>
          <w:szCs w:val="24"/>
        </w:rPr>
        <w:t xml:space="preserve">s </w:t>
      </w:r>
      <w:r w:rsidR="00A04845">
        <w:rPr>
          <w:sz w:val="24"/>
          <w:szCs w:val="24"/>
        </w:rPr>
        <w:t xml:space="preserve">ostensibly </w:t>
      </w:r>
      <w:r w:rsidR="000D4C94">
        <w:rPr>
          <w:sz w:val="24"/>
          <w:szCs w:val="24"/>
        </w:rPr>
        <w:t xml:space="preserve">Joplin </w:t>
      </w:r>
      <w:r w:rsidR="00A04845">
        <w:rPr>
          <w:sz w:val="24"/>
          <w:szCs w:val="24"/>
        </w:rPr>
        <w:t>businessman</w:t>
      </w:r>
      <w:r w:rsidR="00B91982">
        <w:rPr>
          <w:sz w:val="24"/>
          <w:szCs w:val="24"/>
        </w:rPr>
        <w:t xml:space="preserve"> David </w:t>
      </w:r>
      <w:r w:rsidR="00B91982">
        <w:rPr>
          <w:sz w:val="24"/>
          <w:szCs w:val="24"/>
        </w:rPr>
        <w:lastRenderedPageBreak/>
        <w:t>Humphreys</w:t>
      </w:r>
      <w:r w:rsidR="000D4C94">
        <w:rPr>
          <w:sz w:val="24"/>
          <w:szCs w:val="24"/>
        </w:rPr>
        <w:t>, who was</w:t>
      </w:r>
      <w:r w:rsidR="004A5658">
        <w:rPr>
          <w:sz w:val="24"/>
          <w:szCs w:val="24"/>
        </w:rPr>
        <w:t xml:space="preserve"> particularly upset about an M</w:t>
      </w:r>
      <w:r w:rsidR="00164078">
        <w:rPr>
          <w:sz w:val="24"/>
          <w:szCs w:val="24"/>
        </w:rPr>
        <w:t>M</w:t>
      </w:r>
      <w:r w:rsidR="004A5658">
        <w:rPr>
          <w:sz w:val="24"/>
          <w:szCs w:val="24"/>
        </w:rPr>
        <w:t>PA case against his company.</w:t>
      </w:r>
      <w:r w:rsidR="00B52439">
        <w:rPr>
          <w:rStyle w:val="FootnoteReference"/>
          <w:sz w:val="24"/>
          <w:szCs w:val="24"/>
        </w:rPr>
        <w:footnoteReference w:id="29"/>
      </w:r>
      <w:r w:rsidR="00B91982">
        <w:rPr>
          <w:sz w:val="24"/>
          <w:szCs w:val="24"/>
        </w:rPr>
        <w:t xml:space="preserve"> </w:t>
      </w:r>
      <w:r w:rsidR="00C256B2">
        <w:rPr>
          <w:sz w:val="24"/>
          <w:szCs w:val="24"/>
        </w:rPr>
        <w:t>Aiding Humphreys in this attack</w:t>
      </w:r>
      <w:r w:rsidR="00F170E0">
        <w:rPr>
          <w:sz w:val="24"/>
          <w:szCs w:val="24"/>
        </w:rPr>
        <w:t xml:space="preserve"> was </w:t>
      </w:r>
      <w:r w:rsidR="00164078">
        <w:rPr>
          <w:sz w:val="24"/>
          <w:szCs w:val="24"/>
        </w:rPr>
        <w:t>ATRA</w:t>
      </w:r>
      <w:r w:rsidR="006D1013">
        <w:rPr>
          <w:sz w:val="24"/>
          <w:szCs w:val="24"/>
        </w:rPr>
        <w:t>,</w:t>
      </w:r>
      <w:r w:rsidR="00C256B2">
        <w:rPr>
          <w:rStyle w:val="FootnoteReference"/>
          <w:sz w:val="24"/>
          <w:szCs w:val="24"/>
        </w:rPr>
        <w:footnoteReference w:id="30"/>
      </w:r>
      <w:r w:rsidR="008B589B">
        <w:rPr>
          <w:sz w:val="24"/>
          <w:szCs w:val="24"/>
        </w:rPr>
        <w:t xml:space="preserve"> </w:t>
      </w:r>
      <w:r w:rsidR="00115A3C">
        <w:rPr>
          <w:sz w:val="24"/>
          <w:szCs w:val="24"/>
        </w:rPr>
        <w:t>law professor Joanna Shepherd,</w:t>
      </w:r>
      <w:r w:rsidR="00115A3C">
        <w:rPr>
          <w:rStyle w:val="FootnoteReference"/>
          <w:sz w:val="24"/>
          <w:szCs w:val="24"/>
        </w:rPr>
        <w:footnoteReference w:id="31"/>
      </w:r>
      <w:r w:rsidR="00DE7561">
        <w:rPr>
          <w:sz w:val="24"/>
          <w:szCs w:val="24"/>
        </w:rPr>
        <w:t xml:space="preserve"> the Missouri Chamber of Commerce</w:t>
      </w:r>
      <w:r w:rsidR="00CC4EDF">
        <w:rPr>
          <w:sz w:val="24"/>
          <w:szCs w:val="24"/>
        </w:rPr>
        <w:t>,</w:t>
      </w:r>
      <w:r w:rsidR="00DE7561">
        <w:rPr>
          <w:rStyle w:val="FootnoteReference"/>
          <w:sz w:val="24"/>
          <w:szCs w:val="24"/>
        </w:rPr>
        <w:footnoteReference w:id="32"/>
      </w:r>
      <w:r w:rsidR="00CC4EDF">
        <w:rPr>
          <w:sz w:val="24"/>
          <w:szCs w:val="24"/>
        </w:rPr>
        <w:t xml:space="preserve"> and, obliquely, some research conducted by law professor Dr. Joshua Wright.</w:t>
      </w:r>
      <w:r w:rsidR="00CC4EDF">
        <w:rPr>
          <w:rStyle w:val="FootnoteReference"/>
          <w:sz w:val="24"/>
          <w:szCs w:val="24"/>
        </w:rPr>
        <w:footnoteReference w:id="33"/>
      </w:r>
      <w:r w:rsidR="00DE7561">
        <w:rPr>
          <w:sz w:val="24"/>
          <w:szCs w:val="24"/>
        </w:rPr>
        <w:t xml:space="preserve"> This coalition, whether formal or informal, </w:t>
      </w:r>
      <w:r w:rsidR="00F170E0">
        <w:rPr>
          <w:sz w:val="24"/>
          <w:szCs w:val="24"/>
        </w:rPr>
        <w:t>has tended</w:t>
      </w:r>
      <w:r w:rsidR="00DE7561">
        <w:rPr>
          <w:sz w:val="24"/>
          <w:szCs w:val="24"/>
        </w:rPr>
        <w:t xml:space="preserve"> to cite and rely upon the same small body of </w:t>
      </w:r>
      <w:r w:rsidR="00AA16D5">
        <w:rPr>
          <w:sz w:val="24"/>
          <w:szCs w:val="24"/>
        </w:rPr>
        <w:t xml:space="preserve">academic and </w:t>
      </w:r>
      <w:r w:rsidR="00DE7561">
        <w:rPr>
          <w:sz w:val="24"/>
          <w:szCs w:val="24"/>
        </w:rPr>
        <w:t>quasi-academic work</w:t>
      </w:r>
      <w:r w:rsidR="00C93E6D">
        <w:rPr>
          <w:sz w:val="24"/>
          <w:szCs w:val="24"/>
        </w:rPr>
        <w:t>,</w:t>
      </w:r>
      <w:r w:rsidR="00831F89">
        <w:rPr>
          <w:rStyle w:val="FootnoteReference"/>
          <w:sz w:val="24"/>
          <w:szCs w:val="24"/>
        </w:rPr>
        <w:footnoteReference w:id="34"/>
      </w:r>
      <w:r w:rsidR="00831F89">
        <w:rPr>
          <w:sz w:val="24"/>
          <w:szCs w:val="24"/>
        </w:rPr>
        <w:t xml:space="preserve"> </w:t>
      </w:r>
      <w:r w:rsidR="00345BFE">
        <w:rPr>
          <w:sz w:val="24"/>
          <w:szCs w:val="24"/>
        </w:rPr>
        <w:t xml:space="preserve">which </w:t>
      </w:r>
      <w:r w:rsidR="003F6958">
        <w:rPr>
          <w:sz w:val="24"/>
          <w:szCs w:val="24"/>
        </w:rPr>
        <w:t xml:space="preserve">ultimately </w:t>
      </w:r>
      <w:r w:rsidR="00C93E6D">
        <w:rPr>
          <w:sz w:val="24"/>
          <w:szCs w:val="24"/>
        </w:rPr>
        <w:t xml:space="preserve">makes some rational </w:t>
      </w:r>
      <w:r w:rsidR="00C93E6D">
        <w:rPr>
          <w:sz w:val="24"/>
          <w:szCs w:val="24"/>
        </w:rPr>
        <w:lastRenderedPageBreak/>
        <w:t xml:space="preserve">recommendations for </w:t>
      </w:r>
      <w:r w:rsidR="00884B20">
        <w:rPr>
          <w:sz w:val="24"/>
          <w:szCs w:val="24"/>
        </w:rPr>
        <w:t xml:space="preserve">possible </w:t>
      </w:r>
      <w:r w:rsidR="00C93E6D">
        <w:rPr>
          <w:sz w:val="24"/>
          <w:szCs w:val="24"/>
        </w:rPr>
        <w:t>M</w:t>
      </w:r>
      <w:r w:rsidR="00164078">
        <w:rPr>
          <w:sz w:val="24"/>
          <w:szCs w:val="24"/>
        </w:rPr>
        <w:t>M</w:t>
      </w:r>
      <w:r w:rsidR="00C93E6D">
        <w:rPr>
          <w:sz w:val="24"/>
          <w:szCs w:val="24"/>
        </w:rPr>
        <w:t>PA reforms but fails to address</w:t>
      </w:r>
      <w:r w:rsidR="00607E3C">
        <w:rPr>
          <w:sz w:val="24"/>
          <w:szCs w:val="24"/>
        </w:rPr>
        <w:t xml:space="preserve"> or adequately address numerous</w:t>
      </w:r>
      <w:r w:rsidR="00C93E6D">
        <w:rPr>
          <w:sz w:val="24"/>
          <w:szCs w:val="24"/>
        </w:rPr>
        <w:t xml:space="preserve"> relevant issues.</w:t>
      </w:r>
      <w:r w:rsidR="008601DE" w:rsidRPr="00B62F7A">
        <w:rPr>
          <w:b/>
          <w:sz w:val="24"/>
          <w:szCs w:val="24"/>
          <w:u w:val="single"/>
        </w:rPr>
        <w:t xml:space="preserve"> </w:t>
      </w:r>
    </w:p>
    <w:p w:rsidR="005D5FD9" w:rsidRPr="005D5FD9" w:rsidRDefault="00BC1864" w:rsidP="005D5FD9">
      <w:pPr>
        <w:widowControl w:val="0"/>
        <w:spacing w:line="360" w:lineRule="auto"/>
        <w:jc w:val="center"/>
        <w:rPr>
          <w:b/>
          <w:sz w:val="24"/>
          <w:szCs w:val="24"/>
          <w:u w:val="single"/>
        </w:rPr>
      </w:pPr>
      <w:r>
        <w:rPr>
          <w:b/>
          <w:sz w:val="24"/>
          <w:szCs w:val="24"/>
          <w:u w:val="single"/>
        </w:rPr>
        <w:t xml:space="preserve">The </w:t>
      </w:r>
      <w:r w:rsidR="005D5FD9" w:rsidRPr="005D5FD9">
        <w:rPr>
          <w:b/>
          <w:sz w:val="24"/>
          <w:szCs w:val="24"/>
          <w:u w:val="single"/>
        </w:rPr>
        <w:t xml:space="preserve">Inadequacies and Circular Support of </w:t>
      </w:r>
      <w:r w:rsidR="00C76797">
        <w:rPr>
          <w:b/>
          <w:sz w:val="24"/>
          <w:szCs w:val="24"/>
          <w:u w:val="single"/>
        </w:rPr>
        <w:t xml:space="preserve">the </w:t>
      </w:r>
      <w:r w:rsidR="005D5FD9" w:rsidRPr="005D5FD9">
        <w:rPr>
          <w:b/>
          <w:sz w:val="24"/>
          <w:szCs w:val="24"/>
          <w:u w:val="single"/>
        </w:rPr>
        <w:t>M</w:t>
      </w:r>
      <w:r w:rsidR="00164078">
        <w:rPr>
          <w:b/>
          <w:sz w:val="24"/>
          <w:szCs w:val="24"/>
          <w:u w:val="single"/>
        </w:rPr>
        <w:t>M</w:t>
      </w:r>
      <w:r w:rsidR="005D5FD9" w:rsidRPr="005D5FD9">
        <w:rPr>
          <w:b/>
          <w:sz w:val="24"/>
          <w:szCs w:val="24"/>
          <w:u w:val="single"/>
        </w:rPr>
        <w:t>PA Attacks</w:t>
      </w:r>
    </w:p>
    <w:p w:rsidR="00FE69C0" w:rsidRDefault="00BF4C59" w:rsidP="007917F0">
      <w:pPr>
        <w:widowControl w:val="0"/>
        <w:spacing w:line="360" w:lineRule="auto"/>
        <w:rPr>
          <w:sz w:val="24"/>
          <w:szCs w:val="24"/>
        </w:rPr>
      </w:pPr>
      <w:r>
        <w:rPr>
          <w:sz w:val="24"/>
          <w:szCs w:val="24"/>
        </w:rPr>
        <w:tab/>
        <w:t>To begin,</w:t>
      </w:r>
      <w:r w:rsidR="00A7395B">
        <w:rPr>
          <w:sz w:val="24"/>
          <w:szCs w:val="24"/>
        </w:rPr>
        <w:t xml:space="preserve"> </w:t>
      </w:r>
      <w:r w:rsidR="00624C8B">
        <w:rPr>
          <w:sz w:val="24"/>
          <w:szCs w:val="24"/>
        </w:rPr>
        <w:t xml:space="preserve">Shepherd cites no </w:t>
      </w:r>
      <w:r w:rsidR="00F2560A">
        <w:rPr>
          <w:sz w:val="24"/>
          <w:szCs w:val="24"/>
        </w:rPr>
        <w:t xml:space="preserve">meaningful </w:t>
      </w:r>
      <w:r w:rsidR="00624C8B">
        <w:rPr>
          <w:sz w:val="24"/>
          <w:szCs w:val="24"/>
        </w:rPr>
        <w:t>evidence</w:t>
      </w:r>
      <w:r w:rsidR="0068294E">
        <w:rPr>
          <w:sz w:val="24"/>
          <w:szCs w:val="24"/>
        </w:rPr>
        <w:t xml:space="preserve"> for the assertion that M</w:t>
      </w:r>
      <w:r w:rsidR="00DD2F2E">
        <w:rPr>
          <w:sz w:val="24"/>
          <w:szCs w:val="24"/>
        </w:rPr>
        <w:t>M</w:t>
      </w:r>
      <w:r w:rsidR="0068294E">
        <w:rPr>
          <w:sz w:val="24"/>
          <w:szCs w:val="24"/>
        </w:rPr>
        <w:t xml:space="preserve">PA litigation costs </w:t>
      </w:r>
      <w:r w:rsidR="0068294E">
        <w:rPr>
          <w:i/>
          <w:sz w:val="24"/>
          <w:szCs w:val="24"/>
        </w:rPr>
        <w:t>in aggregate</w:t>
      </w:r>
      <w:r w:rsidR="0068294E">
        <w:rPr>
          <w:sz w:val="24"/>
          <w:szCs w:val="24"/>
        </w:rPr>
        <w:t xml:space="preserve"> </w:t>
      </w:r>
      <w:r w:rsidR="003F3B69">
        <w:rPr>
          <w:sz w:val="24"/>
          <w:szCs w:val="24"/>
        </w:rPr>
        <w:t>are “ultimately passed on to consumers through increased prices, fewer innovations, lower product quality, lower wages, and ultimately lower employment.”</w:t>
      </w:r>
      <w:r w:rsidR="003F3B69">
        <w:rPr>
          <w:rStyle w:val="FootnoteReference"/>
          <w:sz w:val="24"/>
          <w:szCs w:val="24"/>
        </w:rPr>
        <w:footnoteReference w:id="35"/>
      </w:r>
      <w:r w:rsidR="003F3B69">
        <w:rPr>
          <w:sz w:val="24"/>
          <w:szCs w:val="24"/>
        </w:rPr>
        <w:t xml:space="preserve"> This is a sweeping statement whose only cited </w:t>
      </w:r>
      <w:r w:rsidR="00D54CA6">
        <w:rPr>
          <w:sz w:val="24"/>
          <w:szCs w:val="24"/>
        </w:rPr>
        <w:t xml:space="preserve">support is </w:t>
      </w:r>
      <w:r w:rsidR="00B30E36">
        <w:rPr>
          <w:sz w:val="24"/>
          <w:szCs w:val="24"/>
        </w:rPr>
        <w:t>another Se</w:t>
      </w:r>
      <w:r w:rsidR="00434A8E">
        <w:rPr>
          <w:sz w:val="24"/>
          <w:szCs w:val="24"/>
        </w:rPr>
        <w:t>arle</w:t>
      </w:r>
      <w:r w:rsidR="00066DEC">
        <w:rPr>
          <w:sz w:val="24"/>
          <w:szCs w:val="24"/>
        </w:rPr>
        <w:t xml:space="preserve"> </w:t>
      </w:r>
      <w:r w:rsidR="00F04679">
        <w:rPr>
          <w:sz w:val="24"/>
          <w:szCs w:val="24"/>
        </w:rPr>
        <w:t xml:space="preserve">report that </w:t>
      </w:r>
      <w:r w:rsidR="00434A8E">
        <w:rPr>
          <w:sz w:val="24"/>
          <w:szCs w:val="24"/>
        </w:rPr>
        <w:t xml:space="preserve">focuses exclusively </w:t>
      </w:r>
      <w:r w:rsidR="00B30E36">
        <w:rPr>
          <w:sz w:val="24"/>
          <w:szCs w:val="24"/>
        </w:rPr>
        <w:t>on auto insurance premiums.</w:t>
      </w:r>
      <w:r w:rsidR="00B30E36">
        <w:rPr>
          <w:rStyle w:val="FootnoteReference"/>
          <w:sz w:val="24"/>
          <w:szCs w:val="24"/>
        </w:rPr>
        <w:footnoteReference w:id="36"/>
      </w:r>
      <w:r w:rsidR="00383E64">
        <w:rPr>
          <w:sz w:val="24"/>
          <w:szCs w:val="24"/>
        </w:rPr>
        <w:t xml:space="preserve"> Such a </w:t>
      </w:r>
      <w:r w:rsidR="00A61658">
        <w:rPr>
          <w:sz w:val="24"/>
          <w:szCs w:val="24"/>
        </w:rPr>
        <w:t>statement relies on numerous assumptions for which Shepherd offers no real support.</w:t>
      </w:r>
      <w:r w:rsidR="00A61658">
        <w:rPr>
          <w:rStyle w:val="FootnoteReference"/>
          <w:sz w:val="24"/>
          <w:szCs w:val="24"/>
        </w:rPr>
        <w:footnoteReference w:id="37"/>
      </w:r>
      <w:r w:rsidR="00F024D3">
        <w:rPr>
          <w:sz w:val="24"/>
          <w:szCs w:val="24"/>
        </w:rPr>
        <w:t xml:space="preserve"> </w:t>
      </w:r>
      <w:r w:rsidR="00155442">
        <w:rPr>
          <w:sz w:val="24"/>
          <w:szCs w:val="24"/>
        </w:rPr>
        <w:t>Broadly, we are to accept, in the absence of any kind of robust distributional impact analysis, that Missouri has breached the optimal point of consumer litigation—that is, that the aggregate marginal costs of the M</w:t>
      </w:r>
      <w:r w:rsidR="00DD2F2E">
        <w:rPr>
          <w:sz w:val="24"/>
          <w:szCs w:val="24"/>
        </w:rPr>
        <w:t>M</w:t>
      </w:r>
      <w:r w:rsidR="00155442">
        <w:rPr>
          <w:sz w:val="24"/>
          <w:szCs w:val="24"/>
        </w:rPr>
        <w:t>PA as currently framed and interpreted exceed the marginal benefits—and is therefore costing itself the assured manna of job creation, lower price</w:t>
      </w:r>
      <w:r w:rsidR="007A7774">
        <w:rPr>
          <w:sz w:val="24"/>
          <w:szCs w:val="24"/>
        </w:rPr>
        <w:t>s, increased investmen</w:t>
      </w:r>
      <w:r w:rsidR="002C3F41">
        <w:rPr>
          <w:sz w:val="24"/>
          <w:szCs w:val="24"/>
        </w:rPr>
        <w:t>t and innovation</w:t>
      </w:r>
      <w:r w:rsidR="007A7774">
        <w:rPr>
          <w:sz w:val="24"/>
          <w:szCs w:val="24"/>
        </w:rPr>
        <w:t>, et al.</w:t>
      </w:r>
      <w:r w:rsidR="00B07003">
        <w:rPr>
          <w:sz w:val="24"/>
          <w:szCs w:val="24"/>
        </w:rPr>
        <w:t xml:space="preserve"> because of an aggregate deadweight loss induced by an overly permissive M</w:t>
      </w:r>
      <w:r w:rsidR="00DD2F2E">
        <w:rPr>
          <w:sz w:val="24"/>
          <w:szCs w:val="24"/>
        </w:rPr>
        <w:t>M</w:t>
      </w:r>
      <w:r w:rsidR="00B07003">
        <w:rPr>
          <w:sz w:val="24"/>
          <w:szCs w:val="24"/>
        </w:rPr>
        <w:t>PA.</w:t>
      </w:r>
      <w:r w:rsidR="007A7774">
        <w:rPr>
          <w:rStyle w:val="FootnoteReference"/>
          <w:sz w:val="24"/>
          <w:szCs w:val="24"/>
        </w:rPr>
        <w:footnoteReference w:id="38"/>
      </w:r>
      <w:r w:rsidR="007A7774">
        <w:rPr>
          <w:sz w:val="24"/>
          <w:szCs w:val="24"/>
        </w:rPr>
        <w:t xml:space="preserve"> </w:t>
      </w:r>
    </w:p>
    <w:p w:rsidR="003D0323" w:rsidRDefault="00FE69C0" w:rsidP="00CE2A47">
      <w:pPr>
        <w:widowControl w:val="0"/>
        <w:spacing w:line="360" w:lineRule="auto"/>
        <w:rPr>
          <w:sz w:val="24"/>
          <w:szCs w:val="24"/>
        </w:rPr>
      </w:pPr>
      <w:r>
        <w:rPr>
          <w:sz w:val="24"/>
          <w:szCs w:val="24"/>
        </w:rPr>
        <w:tab/>
      </w:r>
      <w:r w:rsidR="008C54CF">
        <w:rPr>
          <w:sz w:val="24"/>
          <w:szCs w:val="24"/>
        </w:rPr>
        <w:t>As Shepherd right</w:t>
      </w:r>
      <w:r w:rsidR="00E3703B">
        <w:rPr>
          <w:sz w:val="24"/>
          <w:szCs w:val="24"/>
        </w:rPr>
        <w:t>ly points out, consumer law should</w:t>
      </w:r>
      <w:r w:rsidR="008C54CF">
        <w:rPr>
          <w:sz w:val="24"/>
          <w:szCs w:val="24"/>
        </w:rPr>
        <w:t xml:space="preserve"> strike a</w:t>
      </w:r>
      <w:r w:rsidR="00E3703B">
        <w:rPr>
          <w:sz w:val="24"/>
          <w:szCs w:val="24"/>
        </w:rPr>
        <w:t>n efficient</w:t>
      </w:r>
      <w:r w:rsidR="008C54CF">
        <w:rPr>
          <w:sz w:val="24"/>
          <w:szCs w:val="24"/>
        </w:rPr>
        <w:t xml:space="preserve"> balance between </w:t>
      </w:r>
      <w:r w:rsidR="00E3703B">
        <w:rPr>
          <w:sz w:val="24"/>
          <w:szCs w:val="24"/>
        </w:rPr>
        <w:lastRenderedPageBreak/>
        <w:t>consumer protection and competition</w:t>
      </w:r>
      <w:r w:rsidR="002D4749">
        <w:rPr>
          <w:sz w:val="24"/>
          <w:szCs w:val="24"/>
        </w:rPr>
        <w:t>.</w:t>
      </w:r>
      <w:r w:rsidR="002D4749">
        <w:rPr>
          <w:rStyle w:val="FootnoteReference"/>
          <w:sz w:val="24"/>
          <w:szCs w:val="24"/>
        </w:rPr>
        <w:footnoteReference w:id="39"/>
      </w:r>
      <w:r w:rsidR="00E3703B">
        <w:rPr>
          <w:sz w:val="24"/>
          <w:szCs w:val="24"/>
        </w:rPr>
        <w:t xml:space="preserve"> </w:t>
      </w:r>
      <w:r>
        <w:rPr>
          <w:sz w:val="24"/>
          <w:szCs w:val="24"/>
        </w:rPr>
        <w:t xml:space="preserve"> </w:t>
      </w:r>
      <w:r w:rsidR="008B58F3">
        <w:rPr>
          <w:sz w:val="24"/>
          <w:szCs w:val="24"/>
        </w:rPr>
        <w:t xml:space="preserve">However, she also posits a </w:t>
      </w:r>
      <w:r w:rsidR="00DC715D">
        <w:rPr>
          <w:sz w:val="24"/>
          <w:szCs w:val="24"/>
        </w:rPr>
        <w:t xml:space="preserve">rhetorical </w:t>
      </w:r>
      <w:r w:rsidR="008B58F3">
        <w:rPr>
          <w:sz w:val="24"/>
          <w:szCs w:val="24"/>
        </w:rPr>
        <w:t xml:space="preserve">strawman: </w:t>
      </w:r>
      <w:r w:rsidR="00CB33ED">
        <w:rPr>
          <w:sz w:val="24"/>
          <w:szCs w:val="24"/>
        </w:rPr>
        <w:t>“[t]his tradition of thoughtful and careful balancing balancing of interests has given way to harmful legislative and judicial over-corrections premised upon the misconception that additional consumer protection litigation necessarily protects consumers more.”</w:t>
      </w:r>
      <w:r w:rsidR="00CB33ED">
        <w:rPr>
          <w:rStyle w:val="FootnoteReference"/>
          <w:sz w:val="24"/>
          <w:szCs w:val="24"/>
        </w:rPr>
        <w:footnoteReference w:id="40"/>
      </w:r>
      <w:r w:rsidR="00CB33ED">
        <w:rPr>
          <w:sz w:val="24"/>
          <w:szCs w:val="24"/>
        </w:rPr>
        <w:t xml:space="preserve"> </w:t>
      </w:r>
      <w:r w:rsidR="005D36CA">
        <w:rPr>
          <w:b/>
          <w:i/>
          <w:sz w:val="24"/>
          <w:szCs w:val="24"/>
        </w:rPr>
        <w:t xml:space="preserve">Shepherd does not, and almost certainly cannot, provide a single </w:t>
      </w:r>
      <w:r w:rsidR="00E37BD5">
        <w:rPr>
          <w:b/>
          <w:i/>
          <w:sz w:val="24"/>
          <w:szCs w:val="24"/>
        </w:rPr>
        <w:t xml:space="preserve">relevant </w:t>
      </w:r>
      <w:r w:rsidR="005D36CA">
        <w:rPr>
          <w:b/>
          <w:i/>
          <w:sz w:val="24"/>
          <w:szCs w:val="24"/>
        </w:rPr>
        <w:t xml:space="preserve">example of anyone </w:t>
      </w:r>
      <w:r w:rsidR="00802906">
        <w:rPr>
          <w:b/>
          <w:i/>
          <w:sz w:val="24"/>
          <w:szCs w:val="24"/>
        </w:rPr>
        <w:t>who has concluded that more consumer litigation “necessarily” protects consumers more</w:t>
      </w:r>
      <w:r w:rsidR="00802906">
        <w:rPr>
          <w:sz w:val="24"/>
          <w:szCs w:val="24"/>
        </w:rPr>
        <w:t xml:space="preserve">. </w:t>
      </w:r>
      <w:r w:rsidR="0070396C">
        <w:rPr>
          <w:b/>
          <w:i/>
          <w:sz w:val="24"/>
          <w:szCs w:val="24"/>
        </w:rPr>
        <w:t>Further, as will be noted throug</w:t>
      </w:r>
      <w:r w:rsidR="00290E32">
        <w:rPr>
          <w:b/>
          <w:i/>
          <w:sz w:val="24"/>
          <w:szCs w:val="24"/>
        </w:rPr>
        <w:t xml:space="preserve">hout this critique, she </w:t>
      </w:r>
      <w:r w:rsidR="0070396C">
        <w:rPr>
          <w:b/>
          <w:i/>
          <w:sz w:val="24"/>
          <w:szCs w:val="24"/>
        </w:rPr>
        <w:t>fails to explain with any robustness or specificity w</w:t>
      </w:r>
      <w:r w:rsidR="00D44CB4">
        <w:rPr>
          <w:b/>
          <w:i/>
          <w:sz w:val="24"/>
          <w:szCs w:val="24"/>
        </w:rPr>
        <w:t xml:space="preserve">hy or how this </w:t>
      </w:r>
      <w:r w:rsidR="00D1323C">
        <w:rPr>
          <w:b/>
          <w:i/>
          <w:sz w:val="24"/>
          <w:szCs w:val="24"/>
        </w:rPr>
        <w:t xml:space="preserve">supposedly </w:t>
      </w:r>
      <w:r w:rsidR="00D44CB4">
        <w:rPr>
          <w:b/>
          <w:i/>
          <w:sz w:val="24"/>
          <w:szCs w:val="24"/>
        </w:rPr>
        <w:t>untenable</w:t>
      </w:r>
      <w:r w:rsidR="0070396C">
        <w:rPr>
          <w:b/>
          <w:i/>
          <w:sz w:val="24"/>
          <w:szCs w:val="24"/>
        </w:rPr>
        <w:t xml:space="preserve"> M</w:t>
      </w:r>
      <w:r w:rsidR="00DD2F2E">
        <w:rPr>
          <w:b/>
          <w:i/>
          <w:sz w:val="24"/>
          <w:szCs w:val="24"/>
        </w:rPr>
        <w:t>M</w:t>
      </w:r>
      <w:r w:rsidR="0070396C">
        <w:rPr>
          <w:b/>
          <w:i/>
          <w:sz w:val="24"/>
          <w:szCs w:val="24"/>
        </w:rPr>
        <w:t xml:space="preserve">PA expansion has occurred </w:t>
      </w:r>
      <w:r w:rsidR="0070396C" w:rsidRPr="004C0207">
        <w:rPr>
          <w:b/>
          <w:i/>
          <w:sz w:val="24"/>
          <w:szCs w:val="24"/>
          <w:u w:val="single"/>
        </w:rPr>
        <w:t>decades after the 1973 and 1985 amendment</w:t>
      </w:r>
      <w:r w:rsidR="00E37BD5" w:rsidRPr="004C0207">
        <w:rPr>
          <w:b/>
          <w:i/>
          <w:sz w:val="24"/>
          <w:szCs w:val="24"/>
          <w:u w:val="single"/>
        </w:rPr>
        <w:t>s that actually expanded the Act</w:t>
      </w:r>
      <w:r w:rsidR="0070396C">
        <w:rPr>
          <w:b/>
          <w:i/>
          <w:sz w:val="24"/>
          <w:szCs w:val="24"/>
        </w:rPr>
        <w:t xml:space="preserve">, </w:t>
      </w:r>
      <w:r w:rsidR="00093ED2">
        <w:rPr>
          <w:b/>
          <w:i/>
          <w:sz w:val="24"/>
          <w:szCs w:val="24"/>
        </w:rPr>
        <w:t xml:space="preserve">passed during </w:t>
      </w:r>
      <w:r w:rsidR="0070396C">
        <w:rPr>
          <w:b/>
          <w:i/>
          <w:sz w:val="24"/>
          <w:szCs w:val="24"/>
        </w:rPr>
        <w:t xml:space="preserve">a time when legislators were </w:t>
      </w:r>
      <w:r w:rsidR="00093ED2">
        <w:rPr>
          <w:b/>
          <w:i/>
          <w:sz w:val="24"/>
          <w:szCs w:val="24"/>
        </w:rPr>
        <w:t xml:space="preserve">supposedly </w:t>
      </w:r>
      <w:r w:rsidR="0070396C">
        <w:rPr>
          <w:b/>
          <w:i/>
          <w:sz w:val="24"/>
          <w:szCs w:val="24"/>
        </w:rPr>
        <w:t>more “thoughtful and careful” in their balancing of interests</w:t>
      </w:r>
      <w:r w:rsidR="009F75DA">
        <w:rPr>
          <w:sz w:val="24"/>
          <w:szCs w:val="24"/>
        </w:rPr>
        <w:t>.</w:t>
      </w:r>
      <w:r w:rsidR="009F75DA">
        <w:rPr>
          <w:rStyle w:val="FootnoteReference"/>
          <w:sz w:val="24"/>
          <w:szCs w:val="24"/>
        </w:rPr>
        <w:footnoteReference w:id="41"/>
      </w:r>
      <w:r w:rsidR="003D0323">
        <w:rPr>
          <w:sz w:val="24"/>
          <w:szCs w:val="24"/>
        </w:rPr>
        <w:t xml:space="preserve"> Indeed, such a conclusion is </w:t>
      </w:r>
      <w:r w:rsidR="003D0323" w:rsidRPr="003D0323">
        <w:rPr>
          <w:b/>
          <w:bCs/>
          <w:i/>
          <w:iCs/>
          <w:sz w:val="24"/>
          <w:szCs w:val="24"/>
        </w:rPr>
        <w:t>completely unsupported</w:t>
      </w:r>
      <w:r w:rsidR="003D0323">
        <w:rPr>
          <w:sz w:val="24"/>
          <w:szCs w:val="24"/>
        </w:rPr>
        <w:t>—</w:t>
      </w:r>
      <w:r w:rsidR="003D0323" w:rsidRPr="003D0323">
        <w:rPr>
          <w:b/>
          <w:bCs/>
          <w:i/>
          <w:iCs/>
          <w:sz w:val="24"/>
          <w:szCs w:val="24"/>
        </w:rPr>
        <w:t>even by Shepherd’s own logic</w:t>
      </w:r>
      <w:r w:rsidR="003D0323">
        <w:rPr>
          <w:sz w:val="24"/>
          <w:szCs w:val="24"/>
        </w:rPr>
        <w:t xml:space="preserve">—a tactic common to those aimed at substantial tort reform, in Missouri and elsewhere. </w:t>
      </w:r>
    </w:p>
    <w:p w:rsidR="00D75389" w:rsidRDefault="008C54CF" w:rsidP="007917F0">
      <w:pPr>
        <w:widowControl w:val="0"/>
        <w:spacing w:line="360" w:lineRule="auto"/>
        <w:rPr>
          <w:sz w:val="24"/>
          <w:szCs w:val="24"/>
        </w:rPr>
      </w:pPr>
      <w:r>
        <w:rPr>
          <w:sz w:val="24"/>
          <w:szCs w:val="24"/>
        </w:rPr>
        <w:tab/>
      </w:r>
      <w:r w:rsidR="00DF73D4">
        <w:rPr>
          <w:sz w:val="24"/>
          <w:szCs w:val="24"/>
        </w:rPr>
        <w:t>In the absence of sufficient data and logical support, we are, in essence, to rely upon Chicago School-style</w:t>
      </w:r>
      <w:r w:rsidR="00DD2F2E">
        <w:rPr>
          <w:sz w:val="24"/>
          <w:szCs w:val="24"/>
        </w:rPr>
        <w:t xml:space="preserve"> (or, really, George Mason-style)</w:t>
      </w:r>
      <w:r w:rsidR="00DF73D4">
        <w:rPr>
          <w:sz w:val="24"/>
          <w:szCs w:val="24"/>
        </w:rPr>
        <w:t xml:space="preserve"> truisms in a law-and-economics approach that has little to say about the </w:t>
      </w:r>
      <w:r w:rsidR="008812FC">
        <w:rPr>
          <w:sz w:val="24"/>
          <w:szCs w:val="24"/>
        </w:rPr>
        <w:t>realities</w:t>
      </w:r>
      <w:r w:rsidR="00DF73D4">
        <w:rPr>
          <w:sz w:val="24"/>
          <w:szCs w:val="24"/>
        </w:rPr>
        <w:t xml:space="preserve"> facing Missouri consumers. </w:t>
      </w:r>
      <w:r w:rsidR="00B07003">
        <w:rPr>
          <w:sz w:val="24"/>
          <w:szCs w:val="24"/>
        </w:rPr>
        <w:t>B</w:t>
      </w:r>
      <w:r w:rsidR="007A7774">
        <w:rPr>
          <w:sz w:val="24"/>
          <w:szCs w:val="24"/>
        </w:rPr>
        <w:t>ecause a sing</w:t>
      </w:r>
      <w:r w:rsidR="00877482">
        <w:rPr>
          <w:sz w:val="24"/>
          <w:szCs w:val="24"/>
        </w:rPr>
        <w:t xml:space="preserve">le St. Louis firm has </w:t>
      </w:r>
      <w:r w:rsidR="007A7774">
        <w:rPr>
          <w:sz w:val="24"/>
          <w:szCs w:val="24"/>
        </w:rPr>
        <w:t xml:space="preserve">been filing some </w:t>
      </w:r>
      <w:r w:rsidR="00180DAD">
        <w:rPr>
          <w:sz w:val="24"/>
          <w:szCs w:val="24"/>
        </w:rPr>
        <w:t>number of</w:t>
      </w:r>
      <w:r w:rsidR="00877482">
        <w:rPr>
          <w:sz w:val="24"/>
          <w:szCs w:val="24"/>
        </w:rPr>
        <w:t xml:space="preserve"> allegedly</w:t>
      </w:r>
      <w:r w:rsidR="00180DAD">
        <w:rPr>
          <w:sz w:val="24"/>
          <w:szCs w:val="24"/>
        </w:rPr>
        <w:t xml:space="preserve"> meritless suits typically pertaining to food products,</w:t>
      </w:r>
      <w:r w:rsidR="00F55EE4">
        <w:rPr>
          <w:rStyle w:val="FootnoteReference"/>
          <w:sz w:val="24"/>
          <w:szCs w:val="24"/>
        </w:rPr>
        <w:footnoteReference w:id="42"/>
      </w:r>
      <w:r w:rsidR="00180DAD">
        <w:rPr>
          <w:sz w:val="24"/>
          <w:szCs w:val="24"/>
        </w:rPr>
        <w:t xml:space="preserve"> the M</w:t>
      </w:r>
      <w:r w:rsidR="00DD2F2E">
        <w:rPr>
          <w:sz w:val="24"/>
          <w:szCs w:val="24"/>
        </w:rPr>
        <w:t>M</w:t>
      </w:r>
      <w:r w:rsidR="00180DAD">
        <w:rPr>
          <w:sz w:val="24"/>
          <w:szCs w:val="24"/>
        </w:rPr>
        <w:t>PA has apparently f</w:t>
      </w:r>
      <w:r w:rsidR="007B26C1">
        <w:rPr>
          <w:sz w:val="24"/>
          <w:szCs w:val="24"/>
        </w:rPr>
        <w:t>ostered a bonanza for plaintiff</w:t>
      </w:r>
      <w:r w:rsidR="00180DAD">
        <w:rPr>
          <w:sz w:val="24"/>
          <w:szCs w:val="24"/>
        </w:rPr>
        <w:t>s</w:t>
      </w:r>
      <w:r w:rsidR="007B26C1">
        <w:rPr>
          <w:sz w:val="24"/>
          <w:szCs w:val="24"/>
        </w:rPr>
        <w:t>’</w:t>
      </w:r>
      <w:r w:rsidR="00180DAD">
        <w:rPr>
          <w:sz w:val="24"/>
          <w:szCs w:val="24"/>
        </w:rPr>
        <w:t xml:space="preserve"> attorneys</w:t>
      </w:r>
      <w:r w:rsidR="00E051F0">
        <w:rPr>
          <w:sz w:val="24"/>
          <w:szCs w:val="24"/>
        </w:rPr>
        <w:t xml:space="preserve"> (who also happen to employ people</w:t>
      </w:r>
      <w:r w:rsidR="00F170E0">
        <w:rPr>
          <w:sz w:val="24"/>
          <w:szCs w:val="24"/>
        </w:rPr>
        <w:t>, invest in operations, and spend money in Missouri</w:t>
      </w:r>
      <w:r w:rsidR="00E051F0">
        <w:rPr>
          <w:sz w:val="24"/>
          <w:szCs w:val="24"/>
        </w:rPr>
        <w:t>)</w:t>
      </w:r>
      <w:r w:rsidR="00180DAD">
        <w:rPr>
          <w:sz w:val="24"/>
          <w:szCs w:val="24"/>
        </w:rPr>
        <w:t xml:space="preserve"> across the state to the general detriment of Missouri consumers.</w:t>
      </w:r>
      <w:r w:rsidR="00180DAD">
        <w:rPr>
          <w:rStyle w:val="FootnoteReference"/>
          <w:sz w:val="24"/>
          <w:szCs w:val="24"/>
        </w:rPr>
        <w:footnoteReference w:id="43"/>
      </w:r>
      <w:r w:rsidR="00F55EE4">
        <w:rPr>
          <w:sz w:val="24"/>
          <w:szCs w:val="24"/>
        </w:rPr>
        <w:t xml:space="preserve"> This premise, which seems to constitute </w:t>
      </w:r>
      <w:r w:rsidR="007917F0">
        <w:rPr>
          <w:sz w:val="24"/>
          <w:szCs w:val="24"/>
        </w:rPr>
        <w:t>the fundamental viewpoint of the ATRA and Chamber of Commerce,</w:t>
      </w:r>
      <w:r w:rsidR="002C3F41">
        <w:rPr>
          <w:sz w:val="24"/>
          <w:szCs w:val="24"/>
        </w:rPr>
        <w:t xml:space="preserve"> </w:t>
      </w:r>
      <w:r w:rsidR="004A0855">
        <w:rPr>
          <w:sz w:val="24"/>
          <w:szCs w:val="24"/>
        </w:rPr>
        <w:t xml:space="preserve">is </w:t>
      </w:r>
      <w:r w:rsidR="007917F0">
        <w:rPr>
          <w:sz w:val="24"/>
          <w:szCs w:val="24"/>
        </w:rPr>
        <w:t>poorly s</w:t>
      </w:r>
      <w:r w:rsidR="004A0855">
        <w:rPr>
          <w:sz w:val="24"/>
          <w:szCs w:val="24"/>
        </w:rPr>
        <w:t>ubstantiated</w:t>
      </w:r>
      <w:r w:rsidR="0072025A">
        <w:rPr>
          <w:sz w:val="24"/>
          <w:szCs w:val="24"/>
        </w:rPr>
        <w:t>.</w:t>
      </w:r>
      <w:r w:rsidR="007917F0">
        <w:rPr>
          <w:rStyle w:val="FootnoteReference"/>
          <w:sz w:val="24"/>
          <w:szCs w:val="24"/>
        </w:rPr>
        <w:footnoteReference w:id="44"/>
      </w:r>
      <w:r w:rsidR="009F684B">
        <w:rPr>
          <w:sz w:val="24"/>
          <w:szCs w:val="24"/>
        </w:rPr>
        <w:t xml:space="preserve"> Between Shepherd, the ATRA, and the Chamber of Commerce, we also receive no </w:t>
      </w:r>
      <w:r w:rsidR="00DF0665">
        <w:rPr>
          <w:sz w:val="24"/>
          <w:szCs w:val="24"/>
        </w:rPr>
        <w:t xml:space="preserve">sense of how </w:t>
      </w:r>
      <w:r w:rsidR="00CE4499">
        <w:rPr>
          <w:sz w:val="24"/>
          <w:szCs w:val="24"/>
        </w:rPr>
        <w:lastRenderedPageBreak/>
        <w:t>specific provisions within the M</w:t>
      </w:r>
      <w:r w:rsidR="00A03A64">
        <w:rPr>
          <w:sz w:val="24"/>
          <w:szCs w:val="24"/>
        </w:rPr>
        <w:t>M</w:t>
      </w:r>
      <w:r w:rsidR="00CE4499">
        <w:rPr>
          <w:sz w:val="24"/>
          <w:szCs w:val="24"/>
        </w:rPr>
        <w:t xml:space="preserve">PA, particularly those that are broadly being accused as being too expansive, </w:t>
      </w:r>
      <w:r w:rsidR="009C6BC3">
        <w:rPr>
          <w:sz w:val="24"/>
          <w:szCs w:val="24"/>
        </w:rPr>
        <w:t xml:space="preserve">relate to complaints filed, complaints dismissed, </w:t>
      </w:r>
      <w:r w:rsidR="00D75389">
        <w:rPr>
          <w:sz w:val="24"/>
          <w:szCs w:val="24"/>
        </w:rPr>
        <w:t>reported decisions, award amounts, and so on</w:t>
      </w:r>
      <w:r w:rsidR="00500515">
        <w:rPr>
          <w:sz w:val="24"/>
          <w:szCs w:val="24"/>
        </w:rPr>
        <w:t xml:space="preserve"> (let alone to actual effects on employment, investment, productivity, etc.)</w:t>
      </w:r>
      <w:r w:rsidR="00D75389">
        <w:rPr>
          <w:sz w:val="24"/>
          <w:szCs w:val="24"/>
        </w:rPr>
        <w:t xml:space="preserve">—i.e., we have no breakdown </w:t>
      </w:r>
      <w:r w:rsidR="00500515">
        <w:rPr>
          <w:sz w:val="24"/>
          <w:szCs w:val="24"/>
        </w:rPr>
        <w:t>linking the alleged causes with the alleged effects</w:t>
      </w:r>
      <w:r w:rsidR="00A03A64">
        <w:rPr>
          <w:sz w:val="24"/>
          <w:szCs w:val="24"/>
        </w:rPr>
        <w:t xml:space="preserve"> and no distributions across case types, awards, plaintiffs and defendants, etc. </w:t>
      </w:r>
    </w:p>
    <w:p w:rsidR="008D3C8E" w:rsidRDefault="00155442" w:rsidP="00E00AEF">
      <w:pPr>
        <w:widowControl w:val="0"/>
        <w:spacing w:line="360" w:lineRule="auto"/>
        <w:rPr>
          <w:sz w:val="24"/>
          <w:szCs w:val="24"/>
        </w:rPr>
      </w:pPr>
      <w:r>
        <w:rPr>
          <w:sz w:val="24"/>
          <w:szCs w:val="24"/>
        </w:rPr>
        <w:tab/>
      </w:r>
      <w:r w:rsidR="00B862B7">
        <w:rPr>
          <w:sz w:val="24"/>
          <w:szCs w:val="24"/>
        </w:rPr>
        <w:t>Noting that the most expansive amendments to the M</w:t>
      </w:r>
      <w:r w:rsidR="00164078">
        <w:rPr>
          <w:sz w:val="24"/>
          <w:szCs w:val="24"/>
        </w:rPr>
        <w:t>M</w:t>
      </w:r>
      <w:r w:rsidR="00B862B7">
        <w:rPr>
          <w:sz w:val="24"/>
          <w:szCs w:val="24"/>
        </w:rPr>
        <w:t>PA occurred in 1973 and 1985, Shepherd emphasizes the pronounced increase in Missouri consumer litigation during the years 2000-2009</w:t>
      </w:r>
      <w:r w:rsidR="00602500">
        <w:rPr>
          <w:sz w:val="24"/>
          <w:szCs w:val="24"/>
        </w:rPr>
        <w:t xml:space="preserve"> as documented by the Searle Study</w:t>
      </w:r>
      <w:r w:rsidR="00883ABD">
        <w:rPr>
          <w:sz w:val="24"/>
          <w:szCs w:val="24"/>
        </w:rPr>
        <w:t>’s preliminary report</w:t>
      </w:r>
      <w:r w:rsidR="00B862B7">
        <w:rPr>
          <w:sz w:val="24"/>
          <w:szCs w:val="24"/>
        </w:rPr>
        <w:t>.</w:t>
      </w:r>
      <w:r w:rsidR="00B862B7">
        <w:rPr>
          <w:rStyle w:val="FootnoteReference"/>
          <w:sz w:val="24"/>
          <w:szCs w:val="24"/>
        </w:rPr>
        <w:footnoteReference w:id="45"/>
      </w:r>
      <w:r w:rsidR="00FA1138">
        <w:rPr>
          <w:sz w:val="24"/>
          <w:szCs w:val="24"/>
        </w:rPr>
        <w:t xml:space="preserve"> </w:t>
      </w:r>
      <w:r w:rsidR="00FA1138" w:rsidRPr="00361998">
        <w:rPr>
          <w:b/>
          <w:i/>
          <w:sz w:val="24"/>
          <w:szCs w:val="24"/>
        </w:rPr>
        <w:t>Significantly, these data are unclearly, and possibly misleadingly and/or inaccurately, presented</w:t>
      </w:r>
      <w:r w:rsidR="00FA1138">
        <w:rPr>
          <w:i/>
          <w:sz w:val="24"/>
          <w:szCs w:val="24"/>
        </w:rPr>
        <w:t>:</w:t>
      </w:r>
      <w:r w:rsidR="004845B8">
        <w:rPr>
          <w:sz w:val="24"/>
          <w:szCs w:val="24"/>
        </w:rPr>
        <w:t xml:space="preserve"> Shepherd </w:t>
      </w:r>
      <w:r w:rsidR="0028563C">
        <w:rPr>
          <w:sz w:val="24"/>
          <w:szCs w:val="24"/>
        </w:rPr>
        <w:t>cites the Searle Study in claiming that Missouri “has been one of the worst offenders”</w:t>
      </w:r>
      <w:r w:rsidR="00065017">
        <w:rPr>
          <w:rStyle w:val="FootnoteReference"/>
          <w:sz w:val="24"/>
          <w:szCs w:val="24"/>
        </w:rPr>
        <w:footnoteReference w:id="46"/>
      </w:r>
      <w:r w:rsidR="0028563C">
        <w:rPr>
          <w:sz w:val="24"/>
          <w:szCs w:val="24"/>
        </w:rPr>
        <w:t xml:space="preserve"> with a </w:t>
      </w:r>
      <w:r w:rsidR="00065017">
        <w:rPr>
          <w:sz w:val="24"/>
          <w:szCs w:val="24"/>
        </w:rPr>
        <w:t>claimed 677.8% growth rate in reported consumer protection decisions</w:t>
      </w:r>
      <w:r w:rsidR="00D35601">
        <w:rPr>
          <w:sz w:val="24"/>
          <w:szCs w:val="24"/>
        </w:rPr>
        <w:t xml:space="preserve"> during 2000-2009</w:t>
      </w:r>
      <w:r w:rsidR="004C3486">
        <w:rPr>
          <w:sz w:val="24"/>
          <w:szCs w:val="24"/>
        </w:rPr>
        <w:t>.</w:t>
      </w:r>
      <w:r w:rsidR="00065017">
        <w:rPr>
          <w:rStyle w:val="FootnoteReference"/>
          <w:sz w:val="24"/>
          <w:szCs w:val="24"/>
        </w:rPr>
        <w:footnoteReference w:id="47"/>
      </w:r>
      <w:r w:rsidR="004C3486">
        <w:rPr>
          <w:sz w:val="24"/>
          <w:szCs w:val="24"/>
        </w:rPr>
        <w:t xml:space="preserve"> H</w:t>
      </w:r>
      <w:r w:rsidR="00065017">
        <w:rPr>
          <w:sz w:val="24"/>
          <w:szCs w:val="24"/>
        </w:rPr>
        <w:t xml:space="preserve">owever, it is not evident where in the cited report, which lists Missouri as having </w:t>
      </w:r>
      <w:r w:rsidR="00D35601">
        <w:rPr>
          <w:sz w:val="24"/>
          <w:szCs w:val="24"/>
        </w:rPr>
        <w:t>a 39.6% compound annual growth rate (“CAGR”) in federal district courts during 2000-2007 and only a 2.2% CAGR in state appellate courts during 2000-2007,</w:t>
      </w:r>
      <w:r w:rsidR="00D35601">
        <w:rPr>
          <w:rStyle w:val="FootnoteReference"/>
          <w:sz w:val="24"/>
          <w:szCs w:val="24"/>
        </w:rPr>
        <w:footnoteReference w:id="48"/>
      </w:r>
      <w:r w:rsidR="00D35601">
        <w:rPr>
          <w:sz w:val="24"/>
          <w:szCs w:val="24"/>
        </w:rPr>
        <w:t xml:space="preserve"> the underlying data come from. Shepherd states that the data are updated to 2009, which is presumably intended to depict a 10-year (2000-2009) absolute growth rate</w:t>
      </w:r>
      <w:r w:rsidR="00844DC7">
        <w:rPr>
          <w:sz w:val="24"/>
          <w:szCs w:val="24"/>
        </w:rPr>
        <w:t xml:space="preserve"> (with some CAGR raised to the</w:t>
      </w:r>
      <w:r w:rsidR="00FF0677">
        <w:rPr>
          <w:sz w:val="24"/>
          <w:szCs w:val="24"/>
        </w:rPr>
        <w:t xml:space="preserve"> appropriate exponent)</w:t>
      </w:r>
      <w:r w:rsidR="00E051F0">
        <w:rPr>
          <w:sz w:val="24"/>
          <w:szCs w:val="24"/>
        </w:rPr>
        <w:t xml:space="preserve">; </w:t>
      </w:r>
      <w:r w:rsidR="00D35601">
        <w:rPr>
          <w:sz w:val="24"/>
          <w:szCs w:val="24"/>
        </w:rPr>
        <w:t>however, it is completely unclear where the 677.8% figure co</w:t>
      </w:r>
      <w:r w:rsidR="00720453">
        <w:rPr>
          <w:sz w:val="24"/>
          <w:szCs w:val="24"/>
        </w:rPr>
        <w:t xml:space="preserve">mes from—supplementary data not actually made available in the cited study? Some combination of the stated CAGRs extrapolated to 2009? </w:t>
      </w:r>
      <w:r w:rsidR="00CB445A">
        <w:rPr>
          <w:sz w:val="24"/>
          <w:szCs w:val="24"/>
        </w:rPr>
        <w:t xml:space="preserve">Cooper and Shepherd state that Missouri had the fifth highest growth, as measured by </w:t>
      </w:r>
      <w:r w:rsidR="004C3486">
        <w:rPr>
          <w:sz w:val="24"/>
          <w:szCs w:val="24"/>
        </w:rPr>
        <w:t xml:space="preserve">a </w:t>
      </w:r>
      <w:r w:rsidR="00CB445A">
        <w:rPr>
          <w:sz w:val="24"/>
          <w:szCs w:val="24"/>
        </w:rPr>
        <w:t>CAGR</w:t>
      </w:r>
      <w:r w:rsidR="004C3486">
        <w:rPr>
          <w:sz w:val="24"/>
          <w:szCs w:val="24"/>
        </w:rPr>
        <w:t xml:space="preserve"> of 14.6% </w:t>
      </w:r>
      <w:r w:rsidR="00CB445A">
        <w:rPr>
          <w:sz w:val="24"/>
          <w:szCs w:val="24"/>
        </w:rPr>
        <w:t>betwee</w:t>
      </w:r>
      <w:r w:rsidR="004C3486">
        <w:rPr>
          <w:sz w:val="24"/>
          <w:szCs w:val="24"/>
        </w:rPr>
        <w:t>n 2000-2013</w:t>
      </w:r>
      <w:r w:rsidR="00CB445A">
        <w:rPr>
          <w:sz w:val="24"/>
          <w:szCs w:val="24"/>
        </w:rPr>
        <w:t xml:space="preserve">, </w:t>
      </w:r>
      <w:r w:rsidR="004C3486">
        <w:rPr>
          <w:sz w:val="24"/>
          <w:szCs w:val="24"/>
        </w:rPr>
        <w:t xml:space="preserve">in reported consumer cases, </w:t>
      </w:r>
      <w:r w:rsidR="00CB445A">
        <w:rPr>
          <w:sz w:val="24"/>
          <w:szCs w:val="24"/>
        </w:rPr>
        <w:t>with most of that growth being in federal court.</w:t>
      </w:r>
      <w:r w:rsidR="00CB445A">
        <w:rPr>
          <w:rStyle w:val="FootnoteReference"/>
          <w:sz w:val="24"/>
          <w:szCs w:val="24"/>
        </w:rPr>
        <w:footnoteReference w:id="49"/>
      </w:r>
      <w:r w:rsidR="00CB445A">
        <w:rPr>
          <w:sz w:val="24"/>
          <w:szCs w:val="24"/>
        </w:rPr>
        <w:t xml:space="preserve"> </w:t>
      </w:r>
      <w:r w:rsidR="00287AB6">
        <w:rPr>
          <w:sz w:val="24"/>
          <w:szCs w:val="24"/>
        </w:rPr>
        <w:t xml:space="preserve">Because the use of </w:t>
      </w:r>
      <w:r w:rsidR="004C3486">
        <w:rPr>
          <w:sz w:val="24"/>
          <w:szCs w:val="24"/>
        </w:rPr>
        <w:t xml:space="preserve">a </w:t>
      </w:r>
      <w:r w:rsidR="00287AB6">
        <w:rPr>
          <w:sz w:val="24"/>
          <w:szCs w:val="24"/>
        </w:rPr>
        <w:t>CAGR smooths over intertemporal volatility and because, as will be noted in the next paragraph, the financial crisis years saw a significa</w:t>
      </w:r>
      <w:r w:rsidR="004C3486">
        <w:rPr>
          <w:sz w:val="24"/>
          <w:szCs w:val="24"/>
        </w:rPr>
        <w:t>nt spike in federal litigation—</w:t>
      </w:r>
      <w:r w:rsidR="00287AB6">
        <w:rPr>
          <w:sz w:val="24"/>
          <w:szCs w:val="24"/>
        </w:rPr>
        <w:t>which happened to be the key d</w:t>
      </w:r>
      <w:r w:rsidR="004C3486">
        <w:rPr>
          <w:sz w:val="24"/>
          <w:szCs w:val="24"/>
        </w:rPr>
        <w:t>river of M</w:t>
      </w:r>
      <w:r w:rsidR="00164078">
        <w:rPr>
          <w:sz w:val="24"/>
          <w:szCs w:val="24"/>
        </w:rPr>
        <w:t>M</w:t>
      </w:r>
      <w:r w:rsidR="004C3486">
        <w:rPr>
          <w:sz w:val="24"/>
          <w:szCs w:val="24"/>
        </w:rPr>
        <w:t>PA litigation overall—</w:t>
      </w:r>
      <w:r w:rsidR="00287AB6">
        <w:rPr>
          <w:sz w:val="24"/>
          <w:szCs w:val="24"/>
        </w:rPr>
        <w:t xml:space="preserve">the 14.6% rate, which does not even appear </w:t>
      </w:r>
      <w:r w:rsidR="00287AB6">
        <w:rPr>
          <w:i/>
          <w:sz w:val="24"/>
          <w:szCs w:val="24"/>
        </w:rPr>
        <w:t>that</w:t>
      </w:r>
      <w:r w:rsidR="00287AB6">
        <w:rPr>
          <w:sz w:val="24"/>
          <w:szCs w:val="24"/>
        </w:rPr>
        <w:t xml:space="preserve"> remarkable, may have little relevance going forward. Anyway: w</w:t>
      </w:r>
      <w:r w:rsidR="00CB445A">
        <w:rPr>
          <w:sz w:val="24"/>
          <w:szCs w:val="24"/>
        </w:rPr>
        <w:t>hich, if any, of these numbers are correct and, more important</w:t>
      </w:r>
      <w:r w:rsidR="00F42753">
        <w:rPr>
          <w:sz w:val="24"/>
          <w:szCs w:val="24"/>
        </w:rPr>
        <w:t>ly</w:t>
      </w:r>
      <w:r w:rsidR="00CB445A">
        <w:rPr>
          <w:sz w:val="24"/>
          <w:szCs w:val="24"/>
        </w:rPr>
        <w:t>, what is their actual significance?</w:t>
      </w:r>
      <w:r w:rsidR="004C3486">
        <w:rPr>
          <w:sz w:val="24"/>
          <w:szCs w:val="24"/>
        </w:rPr>
        <w:t xml:space="preserve"> </w:t>
      </w:r>
      <w:r w:rsidR="00CB445A">
        <w:rPr>
          <w:sz w:val="24"/>
          <w:szCs w:val="24"/>
        </w:rPr>
        <w:t>E</w:t>
      </w:r>
      <w:r w:rsidR="00720453">
        <w:rPr>
          <w:sz w:val="24"/>
          <w:szCs w:val="24"/>
        </w:rPr>
        <w:t xml:space="preserve">ven if the 677.8% figure is </w:t>
      </w:r>
      <w:r w:rsidR="00720453" w:rsidRPr="00096345">
        <w:rPr>
          <w:i/>
          <w:iCs/>
          <w:sz w:val="24"/>
          <w:szCs w:val="24"/>
        </w:rPr>
        <w:t>somehow</w:t>
      </w:r>
      <w:r w:rsidR="00720453">
        <w:rPr>
          <w:sz w:val="24"/>
          <w:szCs w:val="24"/>
        </w:rPr>
        <w:t xml:space="preserve"> correct, it does nothing to break out federal </w:t>
      </w:r>
      <w:r w:rsidR="00720453">
        <w:rPr>
          <w:sz w:val="24"/>
          <w:szCs w:val="24"/>
        </w:rPr>
        <w:lastRenderedPageBreak/>
        <w:t>versus state court decisions—seemingly a meaningful point of distinction</w:t>
      </w:r>
      <w:r w:rsidR="00290E32">
        <w:rPr>
          <w:sz w:val="24"/>
          <w:szCs w:val="24"/>
        </w:rPr>
        <w:t xml:space="preserve"> if one wishes to address the Missouri taxpayer</w:t>
      </w:r>
      <w:r w:rsidR="00720453">
        <w:rPr>
          <w:sz w:val="24"/>
          <w:szCs w:val="24"/>
        </w:rPr>
        <w:t xml:space="preserve">—and does not accurately reflect what is actually contained in the cited report. </w:t>
      </w:r>
      <w:r w:rsidR="00D35601">
        <w:rPr>
          <w:sz w:val="24"/>
          <w:szCs w:val="24"/>
        </w:rPr>
        <w:t>Indeed, as the cited</w:t>
      </w:r>
      <w:r w:rsidR="00120686">
        <w:rPr>
          <w:sz w:val="24"/>
          <w:szCs w:val="24"/>
        </w:rPr>
        <w:t xml:space="preserve"> Searle Study states</w:t>
      </w:r>
      <w:r w:rsidR="005C3913">
        <w:rPr>
          <w:sz w:val="24"/>
          <w:szCs w:val="24"/>
        </w:rPr>
        <w:t xml:space="preserve">, New Hampshire, Massachusetts, and Connecticut offered the most favorable expected value of recovery to potential plaintiffs—seemingly </w:t>
      </w:r>
      <w:r w:rsidR="00096345">
        <w:rPr>
          <w:sz w:val="24"/>
          <w:szCs w:val="24"/>
        </w:rPr>
        <w:t xml:space="preserve">an </w:t>
      </w:r>
      <w:r w:rsidR="005C3913">
        <w:rPr>
          <w:sz w:val="24"/>
          <w:szCs w:val="24"/>
        </w:rPr>
        <w:t>important metric to consider when po</w:t>
      </w:r>
      <w:r w:rsidR="007B26C1">
        <w:rPr>
          <w:sz w:val="24"/>
          <w:szCs w:val="24"/>
        </w:rPr>
        <w:t>siting that excessive plaintiff</w:t>
      </w:r>
      <w:r w:rsidR="005C3913">
        <w:rPr>
          <w:sz w:val="24"/>
          <w:szCs w:val="24"/>
        </w:rPr>
        <w:t>s</w:t>
      </w:r>
      <w:r w:rsidR="007B26C1">
        <w:rPr>
          <w:sz w:val="24"/>
          <w:szCs w:val="24"/>
        </w:rPr>
        <w:t>’</w:t>
      </w:r>
      <w:r w:rsidR="005C3913">
        <w:rPr>
          <w:sz w:val="24"/>
          <w:szCs w:val="24"/>
        </w:rPr>
        <w:t xml:space="preserve"> litigation is being </w:t>
      </w:r>
      <w:r w:rsidR="008C2F8E">
        <w:rPr>
          <w:sz w:val="24"/>
          <w:szCs w:val="24"/>
        </w:rPr>
        <w:t xml:space="preserve">unduly </w:t>
      </w:r>
      <w:r w:rsidR="005C3913">
        <w:rPr>
          <w:sz w:val="24"/>
          <w:szCs w:val="24"/>
        </w:rPr>
        <w:t>incentivized—during the period analyzed, with Missouri falling more towards the middle for 2004.</w:t>
      </w:r>
      <w:r w:rsidR="005C3913">
        <w:rPr>
          <w:rStyle w:val="FootnoteReference"/>
          <w:sz w:val="24"/>
          <w:szCs w:val="24"/>
        </w:rPr>
        <w:footnoteReference w:id="50"/>
      </w:r>
      <w:r w:rsidR="005C3913">
        <w:rPr>
          <w:sz w:val="24"/>
          <w:szCs w:val="24"/>
        </w:rPr>
        <w:t xml:space="preserve"> </w:t>
      </w:r>
    </w:p>
    <w:p w:rsidR="00D867CF" w:rsidRDefault="008D3C8E" w:rsidP="00E00AEF">
      <w:pPr>
        <w:widowControl w:val="0"/>
        <w:spacing w:line="360" w:lineRule="auto"/>
        <w:rPr>
          <w:sz w:val="24"/>
          <w:szCs w:val="24"/>
        </w:rPr>
      </w:pPr>
      <w:r>
        <w:rPr>
          <w:sz w:val="24"/>
          <w:szCs w:val="24"/>
        </w:rPr>
        <w:tab/>
      </w:r>
      <w:r w:rsidR="006627A1" w:rsidRPr="008D3C8E">
        <w:rPr>
          <w:b/>
          <w:i/>
          <w:sz w:val="24"/>
          <w:szCs w:val="24"/>
        </w:rPr>
        <w:t>Again, o</w:t>
      </w:r>
      <w:r w:rsidR="00720453" w:rsidRPr="008D3C8E">
        <w:rPr>
          <w:b/>
          <w:i/>
          <w:sz w:val="24"/>
          <w:szCs w:val="24"/>
        </w:rPr>
        <w:t xml:space="preserve">ne may note that the years 2007-2009 happened to coincide with the onset and immediate aftermath </w:t>
      </w:r>
      <w:r w:rsidR="00120686" w:rsidRPr="008D3C8E">
        <w:rPr>
          <w:b/>
          <w:i/>
          <w:sz w:val="24"/>
          <w:szCs w:val="24"/>
        </w:rPr>
        <w:t>of the bad-mortgage-induced Great Financial Crisis</w:t>
      </w:r>
      <w:r>
        <w:rPr>
          <w:b/>
          <w:i/>
          <w:sz w:val="24"/>
          <w:szCs w:val="24"/>
        </w:rPr>
        <w:t>, which may have</w:t>
      </w:r>
      <w:r w:rsidR="00120686" w:rsidRPr="008D3C8E">
        <w:rPr>
          <w:b/>
          <w:i/>
          <w:sz w:val="24"/>
          <w:szCs w:val="24"/>
        </w:rPr>
        <w:t xml:space="preserve"> had so</w:t>
      </w:r>
      <w:r w:rsidR="00885B45" w:rsidRPr="008D3C8E">
        <w:rPr>
          <w:b/>
          <w:i/>
          <w:sz w:val="24"/>
          <w:szCs w:val="24"/>
        </w:rPr>
        <w:t xml:space="preserve">mething to do with the </w:t>
      </w:r>
      <w:r w:rsidR="001B25FF" w:rsidRPr="008D3C8E">
        <w:rPr>
          <w:b/>
          <w:i/>
          <w:sz w:val="24"/>
          <w:szCs w:val="24"/>
        </w:rPr>
        <w:t xml:space="preserve">steep </w:t>
      </w:r>
      <w:r w:rsidR="00885B45" w:rsidRPr="008D3C8E">
        <w:rPr>
          <w:b/>
          <w:i/>
          <w:sz w:val="24"/>
          <w:szCs w:val="24"/>
        </w:rPr>
        <w:t>growth</w:t>
      </w:r>
      <w:r w:rsidR="00120686" w:rsidRPr="008D3C8E">
        <w:rPr>
          <w:b/>
          <w:i/>
          <w:sz w:val="24"/>
          <w:szCs w:val="24"/>
        </w:rPr>
        <w:t xml:space="preserve"> in consume</w:t>
      </w:r>
      <w:r>
        <w:rPr>
          <w:b/>
          <w:i/>
          <w:sz w:val="24"/>
          <w:szCs w:val="24"/>
        </w:rPr>
        <w:t xml:space="preserve">r litigation during that period, </w:t>
      </w:r>
      <w:r w:rsidRPr="008D3C8E">
        <w:rPr>
          <w:b/>
          <w:i/>
          <w:sz w:val="24"/>
          <w:szCs w:val="24"/>
        </w:rPr>
        <w:t xml:space="preserve">not just </w:t>
      </w:r>
      <w:r>
        <w:rPr>
          <w:b/>
          <w:i/>
          <w:sz w:val="24"/>
          <w:szCs w:val="24"/>
        </w:rPr>
        <w:t xml:space="preserve">through </w:t>
      </w:r>
      <w:r w:rsidRPr="008D3C8E">
        <w:rPr>
          <w:b/>
          <w:i/>
          <w:sz w:val="24"/>
          <w:szCs w:val="24"/>
        </w:rPr>
        <w:t xml:space="preserve">the economic cyclicality of claims but the specific behaviors involved, most notably debt collection and subprime </w:t>
      </w:r>
      <w:r w:rsidR="009C19ED">
        <w:rPr>
          <w:b/>
          <w:i/>
          <w:sz w:val="24"/>
          <w:szCs w:val="24"/>
        </w:rPr>
        <w:t>mortgage-</w:t>
      </w:r>
      <w:r w:rsidRPr="008D3C8E">
        <w:rPr>
          <w:b/>
          <w:i/>
          <w:sz w:val="24"/>
          <w:szCs w:val="24"/>
        </w:rPr>
        <w:t>lending.</w:t>
      </w:r>
      <w:r w:rsidR="00F37AD6" w:rsidRPr="008D3C8E">
        <w:rPr>
          <w:b/>
          <w:i/>
          <w:sz w:val="24"/>
          <w:szCs w:val="24"/>
        </w:rPr>
        <w:t xml:space="preserve"> </w:t>
      </w:r>
      <w:r w:rsidR="0054708D" w:rsidRPr="008D3C8E">
        <w:rPr>
          <w:b/>
          <w:i/>
          <w:sz w:val="24"/>
          <w:szCs w:val="24"/>
        </w:rPr>
        <w:t>Indeed, as Cooper and Shepherd note, there was “a steep drop-off in federal litigation in the wake of the financial crisis, falling almost 25 percent from 2009-2010</w:t>
      </w:r>
      <w:r w:rsidR="00053213">
        <w:rPr>
          <w:b/>
          <w:i/>
          <w:sz w:val="24"/>
          <w:szCs w:val="24"/>
        </w:rPr>
        <w:t>,</w:t>
      </w:r>
      <w:r w:rsidRPr="008D3C8E">
        <w:rPr>
          <w:b/>
          <w:i/>
          <w:sz w:val="24"/>
          <w:szCs w:val="24"/>
        </w:rPr>
        <w:t>” while the financ</w:t>
      </w:r>
      <w:r w:rsidR="009C19ED">
        <w:rPr>
          <w:b/>
          <w:i/>
          <w:sz w:val="24"/>
          <w:szCs w:val="24"/>
        </w:rPr>
        <w:t>ial services industry</w:t>
      </w:r>
      <w:r w:rsidRPr="008D3C8E">
        <w:rPr>
          <w:b/>
          <w:i/>
          <w:sz w:val="24"/>
          <w:szCs w:val="24"/>
        </w:rPr>
        <w:t xml:space="preserve"> has seen an outsized share of litigation since 2010</w:t>
      </w:r>
      <w:r>
        <w:rPr>
          <w:sz w:val="24"/>
          <w:szCs w:val="24"/>
        </w:rPr>
        <w:t>.</w:t>
      </w:r>
      <w:r w:rsidR="0054708D" w:rsidRPr="008D3C8E">
        <w:rPr>
          <w:rStyle w:val="FootnoteReference"/>
          <w:sz w:val="24"/>
          <w:szCs w:val="24"/>
        </w:rPr>
        <w:footnoteReference w:id="51"/>
      </w:r>
      <w:r w:rsidR="0054708D">
        <w:rPr>
          <w:sz w:val="24"/>
          <w:szCs w:val="24"/>
        </w:rPr>
        <w:t xml:space="preserve"> </w:t>
      </w:r>
      <w:r w:rsidR="005575F6">
        <w:rPr>
          <w:sz w:val="24"/>
          <w:szCs w:val="24"/>
        </w:rPr>
        <w:t xml:space="preserve">It </w:t>
      </w:r>
      <w:r w:rsidR="00F37AD6">
        <w:rPr>
          <w:sz w:val="24"/>
          <w:szCs w:val="24"/>
        </w:rPr>
        <w:t xml:space="preserve">bears mention that the supposed explosion in Missouri consumer litigation </w:t>
      </w:r>
      <w:r w:rsidR="0054708D">
        <w:rPr>
          <w:sz w:val="24"/>
          <w:szCs w:val="24"/>
        </w:rPr>
        <w:t xml:space="preserve">highlighted by the Searle data </w:t>
      </w:r>
      <w:r w:rsidR="00885B45">
        <w:rPr>
          <w:sz w:val="24"/>
          <w:szCs w:val="24"/>
        </w:rPr>
        <w:t xml:space="preserve">resulted in 31 </w:t>
      </w:r>
      <w:r w:rsidR="00F37AD6">
        <w:rPr>
          <w:sz w:val="24"/>
          <w:szCs w:val="24"/>
        </w:rPr>
        <w:t>reported decisions</w:t>
      </w:r>
      <w:r w:rsidR="00800453">
        <w:rPr>
          <w:sz w:val="24"/>
          <w:szCs w:val="24"/>
        </w:rPr>
        <w:t xml:space="preserve"> in federal district court</w:t>
      </w:r>
      <w:r w:rsidR="00F37AD6">
        <w:rPr>
          <w:sz w:val="24"/>
          <w:szCs w:val="24"/>
        </w:rPr>
        <w:t xml:space="preserve"> and all of seven decisions in state appellate courts in 2007.</w:t>
      </w:r>
      <w:r w:rsidR="00F37AD6">
        <w:rPr>
          <w:rStyle w:val="FootnoteReference"/>
          <w:sz w:val="24"/>
          <w:szCs w:val="24"/>
        </w:rPr>
        <w:footnoteReference w:id="52"/>
      </w:r>
      <w:r w:rsidR="007D52DA">
        <w:rPr>
          <w:sz w:val="24"/>
          <w:szCs w:val="24"/>
        </w:rPr>
        <w:t xml:space="preserve"> </w:t>
      </w:r>
      <w:r w:rsidR="005575F6">
        <w:rPr>
          <w:sz w:val="24"/>
          <w:szCs w:val="24"/>
        </w:rPr>
        <w:t>Also, since it is now 20</w:t>
      </w:r>
      <w:r w:rsidR="00164078">
        <w:rPr>
          <w:sz w:val="24"/>
          <w:szCs w:val="24"/>
        </w:rPr>
        <w:t>20</w:t>
      </w:r>
      <w:r w:rsidR="005575F6">
        <w:rPr>
          <w:sz w:val="24"/>
          <w:szCs w:val="24"/>
        </w:rPr>
        <w:t xml:space="preserve">, it may well be helpful if organizations like the </w:t>
      </w:r>
      <w:r w:rsidR="00D03649">
        <w:rPr>
          <w:sz w:val="24"/>
          <w:szCs w:val="24"/>
        </w:rPr>
        <w:t>ATRA and Chamber of Commerce would</w:t>
      </w:r>
      <w:r w:rsidR="005575F6">
        <w:rPr>
          <w:sz w:val="24"/>
          <w:szCs w:val="24"/>
        </w:rPr>
        <w:t xml:space="preserve"> cite more contemporary </w:t>
      </w:r>
      <w:r w:rsidR="00C610D8">
        <w:rPr>
          <w:sz w:val="24"/>
          <w:szCs w:val="24"/>
        </w:rPr>
        <w:t>(</w:t>
      </w:r>
      <w:r w:rsidR="00D03649">
        <w:rPr>
          <w:sz w:val="24"/>
          <w:szCs w:val="24"/>
        </w:rPr>
        <w:t>and robust</w:t>
      </w:r>
      <w:r w:rsidR="00C610D8">
        <w:rPr>
          <w:sz w:val="24"/>
          <w:szCs w:val="24"/>
        </w:rPr>
        <w:t>)</w:t>
      </w:r>
      <w:r w:rsidR="00D03649">
        <w:rPr>
          <w:sz w:val="24"/>
          <w:szCs w:val="24"/>
        </w:rPr>
        <w:t xml:space="preserve"> </w:t>
      </w:r>
      <w:r w:rsidR="005575F6">
        <w:rPr>
          <w:sz w:val="24"/>
          <w:szCs w:val="24"/>
        </w:rPr>
        <w:t xml:space="preserve">data. </w:t>
      </w:r>
    </w:p>
    <w:p w:rsidR="00BF4C59" w:rsidRDefault="00FF4990" w:rsidP="00E00AEF">
      <w:pPr>
        <w:widowControl w:val="0"/>
        <w:spacing w:line="360" w:lineRule="auto"/>
        <w:rPr>
          <w:sz w:val="24"/>
          <w:szCs w:val="24"/>
        </w:rPr>
      </w:pPr>
      <w:r>
        <w:rPr>
          <w:sz w:val="24"/>
          <w:szCs w:val="24"/>
        </w:rPr>
        <w:tab/>
      </w:r>
      <w:r w:rsidR="009B7772">
        <w:rPr>
          <w:sz w:val="24"/>
          <w:szCs w:val="24"/>
        </w:rPr>
        <w:t xml:space="preserve">There is </w:t>
      </w:r>
      <w:r w:rsidR="00595214">
        <w:rPr>
          <w:sz w:val="24"/>
          <w:szCs w:val="24"/>
        </w:rPr>
        <w:t xml:space="preserve">also </w:t>
      </w:r>
      <w:r w:rsidR="009B7772">
        <w:rPr>
          <w:sz w:val="24"/>
          <w:szCs w:val="24"/>
        </w:rPr>
        <w:t xml:space="preserve">no </w:t>
      </w:r>
      <w:r w:rsidR="00595214">
        <w:rPr>
          <w:sz w:val="24"/>
          <w:szCs w:val="24"/>
        </w:rPr>
        <w:t xml:space="preserve">ready </w:t>
      </w:r>
      <w:r w:rsidR="009B7772">
        <w:rPr>
          <w:sz w:val="24"/>
          <w:szCs w:val="24"/>
        </w:rPr>
        <w:t xml:space="preserve">explanation </w:t>
      </w:r>
      <w:r w:rsidR="00A410FD">
        <w:rPr>
          <w:sz w:val="24"/>
          <w:szCs w:val="24"/>
        </w:rPr>
        <w:t>proffered</w:t>
      </w:r>
      <w:r w:rsidR="005B661F">
        <w:rPr>
          <w:sz w:val="24"/>
          <w:szCs w:val="24"/>
        </w:rPr>
        <w:t xml:space="preserve"> as to why Utah</w:t>
      </w:r>
      <w:r w:rsidR="00A410FD">
        <w:rPr>
          <w:sz w:val="24"/>
          <w:szCs w:val="24"/>
        </w:rPr>
        <w:t xml:space="preserve">, </w:t>
      </w:r>
      <w:r w:rsidR="005B661F">
        <w:rPr>
          <w:sz w:val="24"/>
          <w:szCs w:val="24"/>
        </w:rPr>
        <w:t>a state</w:t>
      </w:r>
      <w:r w:rsidR="00832D59">
        <w:rPr>
          <w:sz w:val="24"/>
          <w:szCs w:val="24"/>
        </w:rPr>
        <w:t xml:space="preserve"> that </w:t>
      </w:r>
      <w:r w:rsidR="005B661F">
        <w:rPr>
          <w:sz w:val="24"/>
          <w:szCs w:val="24"/>
        </w:rPr>
        <w:t>is</w:t>
      </w:r>
      <w:r w:rsidR="00B27F97">
        <w:rPr>
          <w:sz w:val="24"/>
          <w:szCs w:val="24"/>
        </w:rPr>
        <w:t xml:space="preserve"> widely regarded</w:t>
      </w:r>
      <w:r w:rsidR="00714ACF">
        <w:rPr>
          <w:sz w:val="24"/>
          <w:szCs w:val="24"/>
        </w:rPr>
        <w:t xml:space="preserve"> as being quite business-friendly, </w:t>
      </w:r>
      <w:r w:rsidR="005B661F">
        <w:rPr>
          <w:sz w:val="24"/>
          <w:szCs w:val="24"/>
        </w:rPr>
        <w:t>was just behind Missouri</w:t>
      </w:r>
      <w:r w:rsidR="005C3913">
        <w:rPr>
          <w:sz w:val="24"/>
          <w:szCs w:val="24"/>
        </w:rPr>
        <w:t xml:space="preserve"> (in Shepherd’s calculation)</w:t>
      </w:r>
      <w:r w:rsidR="000541B9">
        <w:rPr>
          <w:sz w:val="24"/>
          <w:szCs w:val="24"/>
        </w:rPr>
        <w:t xml:space="preserve"> in terms of consumer litigation growth during </w:t>
      </w:r>
      <w:r w:rsidR="00F50D8D">
        <w:rPr>
          <w:sz w:val="24"/>
          <w:szCs w:val="24"/>
        </w:rPr>
        <w:t>2000-2009</w:t>
      </w:r>
      <w:r w:rsidR="005C3913">
        <w:rPr>
          <w:sz w:val="24"/>
          <w:szCs w:val="24"/>
        </w:rPr>
        <w:t>.</w:t>
      </w:r>
      <w:r w:rsidR="00F50D8D">
        <w:rPr>
          <w:rStyle w:val="FootnoteReference"/>
          <w:sz w:val="24"/>
          <w:szCs w:val="24"/>
        </w:rPr>
        <w:footnoteReference w:id="53"/>
      </w:r>
      <w:r w:rsidR="000D0645">
        <w:rPr>
          <w:sz w:val="24"/>
          <w:szCs w:val="24"/>
        </w:rPr>
        <w:t xml:space="preserve"> </w:t>
      </w:r>
      <w:r w:rsidR="005C3913">
        <w:rPr>
          <w:sz w:val="24"/>
          <w:szCs w:val="24"/>
        </w:rPr>
        <w:t>There are many more points of analysis—</w:t>
      </w:r>
      <w:r w:rsidR="00123AAE">
        <w:rPr>
          <w:sz w:val="24"/>
          <w:szCs w:val="24"/>
        </w:rPr>
        <w:t>e.g., federal versus state court decisions and</w:t>
      </w:r>
      <w:r w:rsidR="008C2F8E">
        <w:rPr>
          <w:sz w:val="24"/>
          <w:szCs w:val="24"/>
        </w:rPr>
        <w:t xml:space="preserve"> award amounts, dismissal rates and awards across jurisdictions within Missouri, clustering of decisions within given years (again, one should not be particularly surprised by an explosion in consumer litigation during 2007-2009</w:t>
      </w:r>
      <w:r w:rsidR="00A252CB">
        <w:rPr>
          <w:sz w:val="24"/>
          <w:szCs w:val="24"/>
        </w:rPr>
        <w:t xml:space="preserve"> and use of a CAGR artificially smooths growth when it is uneven across periods</w:t>
      </w:r>
      <w:r w:rsidR="008C2F8E">
        <w:rPr>
          <w:sz w:val="24"/>
          <w:szCs w:val="24"/>
        </w:rPr>
        <w:t xml:space="preserve">), a meaningful </w:t>
      </w:r>
      <w:r w:rsidR="008C2F8E">
        <w:rPr>
          <w:sz w:val="24"/>
          <w:szCs w:val="24"/>
        </w:rPr>
        <w:lastRenderedPageBreak/>
        <w:t xml:space="preserve">breakdown of the industries/businesses involved in consumer litigation </w:t>
      </w:r>
      <w:r w:rsidR="008C2F8E" w:rsidRPr="00B53491">
        <w:rPr>
          <w:i/>
          <w:sz w:val="24"/>
          <w:szCs w:val="24"/>
        </w:rPr>
        <w:t>in Missouri</w:t>
      </w:r>
      <w:r w:rsidR="008C2F8E">
        <w:rPr>
          <w:sz w:val="24"/>
          <w:szCs w:val="24"/>
        </w:rPr>
        <w:t>, demographic and population-weighting—that go unaddressed in Shepherd’s overly conclusory</w:t>
      </w:r>
      <w:r w:rsidR="0078786E">
        <w:rPr>
          <w:sz w:val="24"/>
          <w:szCs w:val="24"/>
        </w:rPr>
        <w:t xml:space="preserve"> short </w:t>
      </w:r>
      <w:r w:rsidR="008C2F8E">
        <w:rPr>
          <w:sz w:val="24"/>
          <w:szCs w:val="24"/>
        </w:rPr>
        <w:t>piece. It is also interesting that the Searle Study, which involved extensive data collection (that was also not particular to Missouri), was generally more qualified in addressing the implications of its data</w:t>
      </w:r>
      <w:r w:rsidR="002A3160">
        <w:rPr>
          <w:sz w:val="24"/>
          <w:szCs w:val="24"/>
        </w:rPr>
        <w:t>, noting significant limitations in that regard,</w:t>
      </w:r>
      <w:r w:rsidR="008C2F8E">
        <w:rPr>
          <w:rStyle w:val="FootnoteReference"/>
          <w:sz w:val="24"/>
          <w:szCs w:val="24"/>
        </w:rPr>
        <w:footnoteReference w:id="54"/>
      </w:r>
      <w:r w:rsidR="008C2F8E">
        <w:rPr>
          <w:sz w:val="24"/>
          <w:szCs w:val="24"/>
        </w:rPr>
        <w:t xml:space="preserve"> than was Shepherd.</w:t>
      </w:r>
    </w:p>
    <w:p w:rsidR="00164078" w:rsidRDefault="0064402F" w:rsidP="00E00AEF">
      <w:pPr>
        <w:widowControl w:val="0"/>
        <w:spacing w:line="360" w:lineRule="auto"/>
        <w:rPr>
          <w:sz w:val="24"/>
          <w:szCs w:val="24"/>
        </w:rPr>
      </w:pPr>
      <w:r>
        <w:rPr>
          <w:sz w:val="24"/>
          <w:szCs w:val="24"/>
        </w:rPr>
        <w:tab/>
        <w:t>Further, seeming to have somehow concluded that like national data indicate that “the increase in consumer protection litigation is not likely the result of more dangerous products, more seller misrepresentations or demographic changes,”</w:t>
      </w:r>
      <w:r>
        <w:rPr>
          <w:rStyle w:val="FootnoteReference"/>
          <w:sz w:val="24"/>
          <w:szCs w:val="24"/>
        </w:rPr>
        <w:footnoteReference w:id="55"/>
      </w:r>
      <w:r>
        <w:rPr>
          <w:sz w:val="24"/>
          <w:szCs w:val="24"/>
        </w:rPr>
        <w:t xml:space="preserve"> </w:t>
      </w:r>
      <w:r w:rsidRPr="00516882">
        <w:rPr>
          <w:b/>
          <w:i/>
          <w:sz w:val="24"/>
          <w:szCs w:val="24"/>
        </w:rPr>
        <w:t xml:space="preserve">Shepherd offers </w:t>
      </w:r>
      <w:r w:rsidRPr="00164078">
        <w:rPr>
          <w:b/>
          <w:i/>
          <w:sz w:val="24"/>
          <w:szCs w:val="24"/>
          <w:u w:val="single"/>
        </w:rPr>
        <w:t xml:space="preserve">no evidence </w:t>
      </w:r>
      <w:r w:rsidRPr="00516882">
        <w:rPr>
          <w:b/>
          <w:i/>
          <w:sz w:val="24"/>
          <w:szCs w:val="24"/>
        </w:rPr>
        <w:t>to support this assertion and no explanation why it took decades for the Missouri plaintiffs’ bar to take undue advantage of the “indulgent” M</w:t>
      </w:r>
      <w:r w:rsidR="00164078">
        <w:rPr>
          <w:b/>
          <w:i/>
          <w:sz w:val="24"/>
          <w:szCs w:val="24"/>
        </w:rPr>
        <w:t>M</w:t>
      </w:r>
      <w:r w:rsidRPr="00516882">
        <w:rPr>
          <w:b/>
          <w:i/>
          <w:sz w:val="24"/>
          <w:szCs w:val="24"/>
        </w:rPr>
        <w:t>PA</w:t>
      </w:r>
      <w:r>
        <w:rPr>
          <w:sz w:val="24"/>
          <w:szCs w:val="24"/>
        </w:rPr>
        <w:t>.</w:t>
      </w:r>
      <w:r>
        <w:rPr>
          <w:rStyle w:val="FootnoteReference"/>
          <w:sz w:val="24"/>
          <w:szCs w:val="24"/>
        </w:rPr>
        <w:footnoteReference w:id="56"/>
      </w:r>
      <w:r>
        <w:rPr>
          <w:sz w:val="24"/>
          <w:szCs w:val="24"/>
        </w:rPr>
        <w:t xml:space="preserve"> As noted, the expansionary heyday </w:t>
      </w:r>
      <w:r w:rsidR="00467D0C">
        <w:rPr>
          <w:sz w:val="24"/>
          <w:szCs w:val="24"/>
        </w:rPr>
        <w:t>of the M</w:t>
      </w:r>
      <w:r w:rsidR="00164078">
        <w:rPr>
          <w:sz w:val="24"/>
          <w:szCs w:val="24"/>
        </w:rPr>
        <w:t>M</w:t>
      </w:r>
      <w:r w:rsidR="00467D0C">
        <w:rPr>
          <w:sz w:val="24"/>
          <w:szCs w:val="24"/>
        </w:rPr>
        <w:t xml:space="preserve">PA occurred in the 1970s and 1980s. </w:t>
      </w:r>
      <w:r>
        <w:rPr>
          <w:sz w:val="24"/>
          <w:szCs w:val="24"/>
        </w:rPr>
        <w:t xml:space="preserve">Likewise, Shepherd, citing </w:t>
      </w:r>
      <w:r>
        <w:rPr>
          <w:i/>
          <w:sz w:val="24"/>
          <w:szCs w:val="24"/>
        </w:rPr>
        <w:t>Ports Petroleum Co., Inc. of Ohio v. Nixon</w:t>
      </w:r>
      <w:r>
        <w:rPr>
          <w:sz w:val="24"/>
          <w:szCs w:val="24"/>
        </w:rPr>
        <w:t xml:space="preserve"> (a 2001 decision), claims that Missouri courts have noted the “devolution” of the M</w:t>
      </w:r>
      <w:r w:rsidR="00164078">
        <w:rPr>
          <w:sz w:val="24"/>
          <w:szCs w:val="24"/>
        </w:rPr>
        <w:t>M</w:t>
      </w:r>
      <w:r>
        <w:rPr>
          <w:sz w:val="24"/>
          <w:szCs w:val="24"/>
        </w:rPr>
        <w:t xml:space="preserve">PA because, in </w:t>
      </w:r>
      <w:r>
        <w:rPr>
          <w:i/>
          <w:sz w:val="24"/>
          <w:szCs w:val="24"/>
        </w:rPr>
        <w:t>Nixon</w:t>
      </w:r>
      <w:r>
        <w:rPr>
          <w:sz w:val="24"/>
          <w:szCs w:val="24"/>
        </w:rPr>
        <w:t xml:space="preserve">, </w:t>
      </w:r>
      <w:r w:rsidR="0058001A">
        <w:rPr>
          <w:sz w:val="24"/>
          <w:szCs w:val="24"/>
        </w:rPr>
        <w:t xml:space="preserve">the court stated </w:t>
      </w:r>
      <w:r w:rsidR="00B60286">
        <w:rPr>
          <w:sz w:val="24"/>
          <w:szCs w:val="24"/>
        </w:rPr>
        <w:t>that the Act covers “every practice imaginable and every unfairness to whatever degree.”</w:t>
      </w:r>
      <w:r w:rsidR="00B60286">
        <w:rPr>
          <w:rStyle w:val="FootnoteReference"/>
          <w:sz w:val="24"/>
          <w:szCs w:val="24"/>
        </w:rPr>
        <w:footnoteReference w:id="57"/>
      </w:r>
      <w:r w:rsidR="00B60286">
        <w:rPr>
          <w:sz w:val="24"/>
          <w:szCs w:val="24"/>
        </w:rPr>
        <w:t xml:space="preserve"> </w:t>
      </w:r>
    </w:p>
    <w:p w:rsidR="0064402F" w:rsidRPr="00003162" w:rsidRDefault="00164078" w:rsidP="00E00AEF">
      <w:pPr>
        <w:widowControl w:val="0"/>
        <w:spacing w:line="360" w:lineRule="auto"/>
        <w:rPr>
          <w:sz w:val="24"/>
          <w:szCs w:val="24"/>
        </w:rPr>
      </w:pPr>
      <w:r>
        <w:rPr>
          <w:sz w:val="24"/>
          <w:szCs w:val="24"/>
        </w:rPr>
        <w:tab/>
      </w:r>
      <w:r w:rsidR="00B60286">
        <w:rPr>
          <w:sz w:val="24"/>
          <w:szCs w:val="24"/>
        </w:rPr>
        <w:t>This is a misleading spin</w:t>
      </w:r>
      <w:r w:rsidR="00A403F7">
        <w:rPr>
          <w:sz w:val="24"/>
          <w:szCs w:val="24"/>
        </w:rPr>
        <w:t>, which seems to feed into the overall mythology being fostered,</w:t>
      </w:r>
      <w:r w:rsidR="00B60286">
        <w:rPr>
          <w:sz w:val="24"/>
          <w:szCs w:val="24"/>
        </w:rPr>
        <w:t xml:space="preserve"> given the topic at hand: nowhere in </w:t>
      </w:r>
      <w:r w:rsidR="00B60286">
        <w:rPr>
          <w:i/>
          <w:sz w:val="24"/>
          <w:szCs w:val="24"/>
        </w:rPr>
        <w:t>Nixon</w:t>
      </w:r>
      <w:r w:rsidR="00B60286">
        <w:rPr>
          <w:sz w:val="24"/>
          <w:szCs w:val="24"/>
        </w:rPr>
        <w:t xml:space="preserve"> did the court note anything resembling a “devolution” but rather it lamented that the phrase “unfair practice,” </w:t>
      </w:r>
      <w:r w:rsidR="00B60286">
        <w:rPr>
          <w:i/>
          <w:sz w:val="24"/>
          <w:szCs w:val="24"/>
        </w:rPr>
        <w:t xml:space="preserve">which had been used </w:t>
      </w:r>
      <w:r w:rsidR="00B60286" w:rsidRPr="00164078">
        <w:rPr>
          <w:i/>
          <w:sz w:val="24"/>
          <w:szCs w:val="24"/>
          <w:u w:val="single"/>
        </w:rPr>
        <w:t>since the M</w:t>
      </w:r>
      <w:r w:rsidRPr="00164078">
        <w:rPr>
          <w:i/>
          <w:sz w:val="24"/>
          <w:szCs w:val="24"/>
          <w:u w:val="single"/>
        </w:rPr>
        <w:t>M</w:t>
      </w:r>
      <w:r w:rsidR="00B60286" w:rsidRPr="00164078">
        <w:rPr>
          <w:i/>
          <w:sz w:val="24"/>
          <w:szCs w:val="24"/>
          <w:u w:val="single"/>
        </w:rPr>
        <w:t>PA’s enactment</w:t>
      </w:r>
      <w:r w:rsidR="00B60286">
        <w:rPr>
          <w:sz w:val="24"/>
          <w:szCs w:val="24"/>
        </w:rPr>
        <w:t>, was, “for better or worse,” ambiguous when read literally.</w:t>
      </w:r>
      <w:r w:rsidR="00B60286">
        <w:rPr>
          <w:rStyle w:val="FootnoteReference"/>
          <w:sz w:val="24"/>
          <w:szCs w:val="24"/>
        </w:rPr>
        <w:footnoteReference w:id="58"/>
      </w:r>
      <w:r w:rsidR="00B60286">
        <w:rPr>
          <w:sz w:val="24"/>
          <w:szCs w:val="24"/>
        </w:rPr>
        <w:t xml:space="preserve"> Even then, applying principles of </w:t>
      </w:r>
      <w:r w:rsidR="00F221EC">
        <w:rPr>
          <w:sz w:val="24"/>
          <w:szCs w:val="24"/>
        </w:rPr>
        <w:t>statutory</w:t>
      </w:r>
      <w:r w:rsidR="00B60286">
        <w:rPr>
          <w:sz w:val="24"/>
          <w:szCs w:val="24"/>
        </w:rPr>
        <w:t xml:space="preserve"> construction, the </w:t>
      </w:r>
      <w:r w:rsidR="00B60286">
        <w:rPr>
          <w:i/>
          <w:sz w:val="24"/>
          <w:szCs w:val="24"/>
        </w:rPr>
        <w:t>Nixon</w:t>
      </w:r>
      <w:r w:rsidR="00B60286">
        <w:rPr>
          <w:sz w:val="24"/>
          <w:szCs w:val="24"/>
        </w:rPr>
        <w:t xml:space="preserve"> court </w:t>
      </w:r>
      <w:r w:rsidR="00B60286">
        <w:rPr>
          <w:i/>
          <w:sz w:val="24"/>
          <w:szCs w:val="24"/>
        </w:rPr>
        <w:t>decided against the Attorney General because it determined that the practice at issue had not actually harmed consumers</w:t>
      </w:r>
      <w:r w:rsidR="00F221EC">
        <w:rPr>
          <w:i/>
          <w:sz w:val="24"/>
          <w:szCs w:val="24"/>
        </w:rPr>
        <w:t xml:space="preserve"> such that the M</w:t>
      </w:r>
      <w:r>
        <w:rPr>
          <w:i/>
          <w:sz w:val="24"/>
          <w:szCs w:val="24"/>
        </w:rPr>
        <w:t>M</w:t>
      </w:r>
      <w:r w:rsidR="00F221EC">
        <w:rPr>
          <w:i/>
          <w:sz w:val="24"/>
          <w:szCs w:val="24"/>
        </w:rPr>
        <w:t>PA’s proscription of “unfair practices” did not apply</w:t>
      </w:r>
      <w:r w:rsidR="00B60286">
        <w:rPr>
          <w:i/>
          <w:sz w:val="24"/>
          <w:szCs w:val="24"/>
        </w:rPr>
        <w:t>.</w:t>
      </w:r>
      <w:r w:rsidR="00B60286" w:rsidRPr="00F221EC">
        <w:rPr>
          <w:rStyle w:val="FootnoteReference"/>
          <w:sz w:val="24"/>
          <w:szCs w:val="24"/>
        </w:rPr>
        <w:footnoteReference w:id="59"/>
      </w:r>
      <w:r w:rsidR="00F221EC">
        <w:rPr>
          <w:sz w:val="24"/>
          <w:szCs w:val="24"/>
        </w:rPr>
        <w:t xml:space="preserve"> In essence, in </w:t>
      </w:r>
      <w:r w:rsidR="00F221EC">
        <w:rPr>
          <w:i/>
          <w:sz w:val="24"/>
          <w:szCs w:val="24"/>
        </w:rPr>
        <w:t>Nixon</w:t>
      </w:r>
      <w:r w:rsidR="00F221EC">
        <w:rPr>
          <w:sz w:val="24"/>
          <w:szCs w:val="24"/>
        </w:rPr>
        <w:t xml:space="preserve"> the Attorney General had attempted to prosecute a gas station for dumping motor fuel by bootstrapping </w:t>
      </w:r>
      <w:r w:rsidR="00003162">
        <w:rPr>
          <w:sz w:val="24"/>
          <w:szCs w:val="24"/>
        </w:rPr>
        <w:t xml:space="preserve">claims </w:t>
      </w:r>
      <w:r w:rsidR="00003162">
        <w:rPr>
          <w:sz w:val="24"/>
          <w:szCs w:val="24"/>
        </w:rPr>
        <w:lastRenderedPageBreak/>
        <w:t>via</w:t>
      </w:r>
      <w:r w:rsidR="00F221EC">
        <w:rPr>
          <w:sz w:val="24"/>
          <w:szCs w:val="24"/>
        </w:rPr>
        <w:t xml:space="preserve"> the M</w:t>
      </w:r>
      <w:r>
        <w:rPr>
          <w:sz w:val="24"/>
          <w:szCs w:val="24"/>
        </w:rPr>
        <w:t>M</w:t>
      </w:r>
      <w:r w:rsidR="00F221EC">
        <w:rPr>
          <w:sz w:val="24"/>
          <w:szCs w:val="24"/>
        </w:rPr>
        <w:t xml:space="preserve">PA; the Missouri Supreme Court </w:t>
      </w:r>
      <w:r w:rsidR="00F221EC" w:rsidRPr="00164078">
        <w:rPr>
          <w:sz w:val="24"/>
          <w:szCs w:val="24"/>
          <w:u w:val="single"/>
        </w:rPr>
        <w:t>did not allow this</w:t>
      </w:r>
      <w:r w:rsidR="00F221EC">
        <w:rPr>
          <w:sz w:val="24"/>
          <w:szCs w:val="24"/>
        </w:rPr>
        <w:t>.</w:t>
      </w:r>
      <w:r w:rsidR="00F221EC">
        <w:rPr>
          <w:rStyle w:val="FootnoteReference"/>
          <w:sz w:val="24"/>
          <w:szCs w:val="24"/>
        </w:rPr>
        <w:footnoteReference w:id="60"/>
      </w:r>
      <w:r w:rsidR="00F221EC">
        <w:rPr>
          <w:sz w:val="24"/>
          <w:szCs w:val="24"/>
        </w:rPr>
        <w:t xml:space="preserve"> Nowhere in the case </w:t>
      </w:r>
      <w:r w:rsidR="00E76D83">
        <w:rPr>
          <w:sz w:val="24"/>
          <w:szCs w:val="24"/>
        </w:rPr>
        <w:t>did the court note anything like a “devolution” in the M</w:t>
      </w:r>
      <w:r>
        <w:rPr>
          <w:sz w:val="24"/>
          <w:szCs w:val="24"/>
        </w:rPr>
        <w:t>M</w:t>
      </w:r>
      <w:r w:rsidR="00E76D83">
        <w:rPr>
          <w:sz w:val="24"/>
          <w:szCs w:val="24"/>
        </w:rPr>
        <w:t>PA; rather, it rightly noted that “unfair practice” is broad, albeit not insurmountable, and that an economic act explicitly prohibited by another regulation did not fall under the rubric of the M</w:t>
      </w:r>
      <w:r>
        <w:rPr>
          <w:sz w:val="24"/>
          <w:szCs w:val="24"/>
        </w:rPr>
        <w:t>M</w:t>
      </w:r>
      <w:r w:rsidR="00E76D83">
        <w:rPr>
          <w:sz w:val="24"/>
          <w:szCs w:val="24"/>
        </w:rPr>
        <w:t>PA.</w:t>
      </w:r>
      <w:r w:rsidR="00E76D83">
        <w:rPr>
          <w:rStyle w:val="FootnoteReference"/>
          <w:sz w:val="24"/>
          <w:szCs w:val="24"/>
        </w:rPr>
        <w:footnoteReference w:id="61"/>
      </w:r>
      <w:r w:rsidR="00C53DD3">
        <w:rPr>
          <w:sz w:val="24"/>
          <w:szCs w:val="24"/>
        </w:rPr>
        <w:t xml:space="preserve"> </w:t>
      </w:r>
    </w:p>
    <w:p w:rsidR="005F3FB8" w:rsidRDefault="006676B6" w:rsidP="00806384">
      <w:pPr>
        <w:widowControl w:val="0"/>
        <w:spacing w:line="360" w:lineRule="auto"/>
        <w:rPr>
          <w:sz w:val="24"/>
          <w:szCs w:val="24"/>
        </w:rPr>
      </w:pPr>
      <w:r>
        <w:rPr>
          <w:sz w:val="24"/>
          <w:szCs w:val="24"/>
        </w:rPr>
        <w:tab/>
      </w:r>
      <w:r w:rsidR="006146AC">
        <w:rPr>
          <w:sz w:val="24"/>
          <w:szCs w:val="24"/>
        </w:rPr>
        <w:t xml:space="preserve">Significantly, </w:t>
      </w:r>
      <w:r w:rsidR="005C1A65">
        <w:rPr>
          <w:sz w:val="24"/>
          <w:szCs w:val="24"/>
        </w:rPr>
        <w:t xml:space="preserve">Shepherd </w:t>
      </w:r>
      <w:r w:rsidR="00383E64">
        <w:rPr>
          <w:sz w:val="24"/>
          <w:szCs w:val="24"/>
        </w:rPr>
        <w:t>and the ATRA provide</w:t>
      </w:r>
      <w:r w:rsidR="005C1A65">
        <w:rPr>
          <w:sz w:val="24"/>
          <w:szCs w:val="24"/>
        </w:rPr>
        <w:t xml:space="preserve"> no analysis of M</w:t>
      </w:r>
      <w:r w:rsidR="00164078">
        <w:rPr>
          <w:sz w:val="24"/>
          <w:szCs w:val="24"/>
        </w:rPr>
        <w:t>M</w:t>
      </w:r>
      <w:r w:rsidR="005C1A65">
        <w:rPr>
          <w:sz w:val="24"/>
          <w:szCs w:val="24"/>
        </w:rPr>
        <w:t xml:space="preserve">PA-related phenomena across </w:t>
      </w:r>
      <w:r w:rsidR="005C1A65">
        <w:rPr>
          <w:i/>
          <w:sz w:val="24"/>
          <w:szCs w:val="24"/>
        </w:rPr>
        <w:t>jurisdictions within Missouri</w:t>
      </w:r>
      <w:r w:rsidR="005C1A65">
        <w:rPr>
          <w:sz w:val="24"/>
          <w:szCs w:val="24"/>
        </w:rPr>
        <w:t xml:space="preserve">, </w:t>
      </w:r>
      <w:r w:rsidR="00A53E4F">
        <w:rPr>
          <w:sz w:val="24"/>
          <w:szCs w:val="24"/>
        </w:rPr>
        <w:t xml:space="preserve">which </w:t>
      </w:r>
      <w:r w:rsidR="0021084E">
        <w:rPr>
          <w:sz w:val="24"/>
          <w:szCs w:val="24"/>
        </w:rPr>
        <w:t xml:space="preserve">could presumably shed some light </w:t>
      </w:r>
      <w:r w:rsidR="00CE7A9D">
        <w:rPr>
          <w:sz w:val="24"/>
          <w:szCs w:val="24"/>
        </w:rPr>
        <w:t>on their</w:t>
      </w:r>
      <w:r w:rsidR="00B36BFE">
        <w:rPr>
          <w:sz w:val="24"/>
          <w:szCs w:val="24"/>
        </w:rPr>
        <w:t xml:space="preserve"> Missouri-specific contentions. </w:t>
      </w:r>
      <w:r w:rsidR="00616B72">
        <w:rPr>
          <w:sz w:val="24"/>
          <w:szCs w:val="24"/>
        </w:rPr>
        <w:t xml:space="preserve">For example, could the purportedly lax judicial interpretations </w:t>
      </w:r>
      <w:r w:rsidR="00383E64">
        <w:rPr>
          <w:sz w:val="24"/>
          <w:szCs w:val="24"/>
        </w:rPr>
        <w:t>that</w:t>
      </w:r>
      <w:r w:rsidR="0059326E">
        <w:rPr>
          <w:sz w:val="24"/>
          <w:szCs w:val="24"/>
        </w:rPr>
        <w:t xml:space="preserve"> have led to such purportedly egregious </w:t>
      </w:r>
      <w:r w:rsidR="00CE7A9D">
        <w:rPr>
          <w:sz w:val="24"/>
          <w:szCs w:val="24"/>
        </w:rPr>
        <w:t xml:space="preserve">consumer litigation </w:t>
      </w:r>
      <w:r w:rsidR="007C6647">
        <w:rPr>
          <w:sz w:val="24"/>
          <w:szCs w:val="24"/>
        </w:rPr>
        <w:t>be somehow related</w:t>
      </w:r>
      <w:r w:rsidR="0059326E">
        <w:rPr>
          <w:sz w:val="24"/>
          <w:szCs w:val="24"/>
        </w:rPr>
        <w:t xml:space="preserve"> </w:t>
      </w:r>
      <w:r w:rsidR="00A53E4F">
        <w:rPr>
          <w:sz w:val="24"/>
          <w:szCs w:val="24"/>
        </w:rPr>
        <w:t xml:space="preserve">to </w:t>
      </w:r>
      <w:r w:rsidR="00A53E4F" w:rsidRPr="00FB34B8">
        <w:rPr>
          <w:sz w:val="24"/>
          <w:szCs w:val="24"/>
        </w:rPr>
        <w:t xml:space="preserve">a heightened rate of deceptive and predatory practices concentrated, in particular, </w:t>
      </w:r>
      <w:r w:rsidR="0021084E" w:rsidRPr="00FB34B8">
        <w:rPr>
          <w:sz w:val="24"/>
          <w:szCs w:val="24"/>
        </w:rPr>
        <w:t xml:space="preserve">in certain areas of </w:t>
      </w:r>
      <w:r w:rsidR="00E45E6C">
        <w:rPr>
          <w:sz w:val="24"/>
          <w:szCs w:val="24"/>
        </w:rPr>
        <w:t>St. Louis or</w:t>
      </w:r>
      <w:r w:rsidR="00A53E4F" w:rsidRPr="00FB34B8">
        <w:rPr>
          <w:sz w:val="24"/>
          <w:szCs w:val="24"/>
        </w:rPr>
        <w:t xml:space="preserve"> Kansas City?</w:t>
      </w:r>
      <w:r w:rsidR="00376C6C">
        <w:rPr>
          <w:sz w:val="24"/>
          <w:szCs w:val="24"/>
        </w:rPr>
        <w:t xml:space="preserve"> </w:t>
      </w:r>
      <w:r w:rsidR="009672C6">
        <w:rPr>
          <w:sz w:val="24"/>
          <w:szCs w:val="24"/>
        </w:rPr>
        <w:t>Is it conceivable that certain jurisdictions are excessively lenient vis-</w:t>
      </w:r>
      <w:r w:rsidR="00EE1C13">
        <w:rPr>
          <w:sz w:val="24"/>
          <w:szCs w:val="24"/>
        </w:rPr>
        <w:t>à-vis the M</w:t>
      </w:r>
      <w:r w:rsidR="00164078">
        <w:rPr>
          <w:sz w:val="24"/>
          <w:szCs w:val="24"/>
        </w:rPr>
        <w:t>M</w:t>
      </w:r>
      <w:r w:rsidR="00EE1C13">
        <w:rPr>
          <w:sz w:val="24"/>
          <w:szCs w:val="24"/>
        </w:rPr>
        <w:t xml:space="preserve">PA while others are stringent? </w:t>
      </w:r>
      <w:r w:rsidR="00B83B3B">
        <w:rPr>
          <w:sz w:val="24"/>
          <w:szCs w:val="24"/>
        </w:rPr>
        <w:t xml:space="preserve">Who are the “observers” </w:t>
      </w:r>
      <w:r w:rsidR="001C326F">
        <w:rPr>
          <w:sz w:val="24"/>
          <w:szCs w:val="24"/>
        </w:rPr>
        <w:t>who “say that the St. Louis Circuit Court, and Missouri state courts generally, are much less likely than their federal counterparts to dismiss such meritless claims”?</w:t>
      </w:r>
      <w:r w:rsidR="001C326F">
        <w:rPr>
          <w:rStyle w:val="FootnoteReference"/>
          <w:sz w:val="24"/>
          <w:szCs w:val="24"/>
        </w:rPr>
        <w:footnoteReference w:id="62"/>
      </w:r>
      <w:r w:rsidR="00383E64">
        <w:rPr>
          <w:sz w:val="24"/>
          <w:szCs w:val="24"/>
        </w:rPr>
        <w:t xml:space="preserve"> </w:t>
      </w:r>
      <w:r w:rsidR="00706CB0">
        <w:rPr>
          <w:sz w:val="24"/>
          <w:szCs w:val="24"/>
        </w:rPr>
        <w:t>Why is St. Louis allegedly so much more egr</w:t>
      </w:r>
      <w:r w:rsidR="00A153AD">
        <w:rPr>
          <w:sz w:val="24"/>
          <w:szCs w:val="24"/>
        </w:rPr>
        <w:t xml:space="preserve">egious than, say, Kansas City or Springfield? </w:t>
      </w:r>
      <w:r w:rsidR="004653F4">
        <w:rPr>
          <w:sz w:val="24"/>
          <w:szCs w:val="24"/>
        </w:rPr>
        <w:t>Are we</w:t>
      </w:r>
      <w:r w:rsidR="00520A67">
        <w:rPr>
          <w:sz w:val="24"/>
          <w:szCs w:val="24"/>
        </w:rPr>
        <w:t xml:space="preserve"> even talking about </w:t>
      </w:r>
      <w:r w:rsidR="00383E64">
        <w:rPr>
          <w:sz w:val="24"/>
          <w:szCs w:val="24"/>
        </w:rPr>
        <w:t>problem</w:t>
      </w:r>
      <w:r w:rsidR="00520A67">
        <w:rPr>
          <w:sz w:val="24"/>
          <w:szCs w:val="24"/>
        </w:rPr>
        <w:t>s</w:t>
      </w:r>
      <w:r w:rsidR="00383E64">
        <w:rPr>
          <w:sz w:val="24"/>
          <w:szCs w:val="24"/>
        </w:rPr>
        <w:t xml:space="preserve"> with the M</w:t>
      </w:r>
      <w:r w:rsidR="00164078">
        <w:rPr>
          <w:sz w:val="24"/>
          <w:szCs w:val="24"/>
        </w:rPr>
        <w:t>M</w:t>
      </w:r>
      <w:r w:rsidR="00383E64">
        <w:rPr>
          <w:sz w:val="24"/>
          <w:szCs w:val="24"/>
        </w:rPr>
        <w:t>PA as such or</w:t>
      </w:r>
      <w:r w:rsidR="00520A67">
        <w:rPr>
          <w:sz w:val="24"/>
          <w:szCs w:val="24"/>
        </w:rPr>
        <w:t xml:space="preserve"> about </w:t>
      </w:r>
      <w:r w:rsidR="0019559A">
        <w:rPr>
          <w:sz w:val="24"/>
          <w:szCs w:val="24"/>
        </w:rPr>
        <w:t>defendant</w:t>
      </w:r>
      <w:r w:rsidR="00520A67">
        <w:rPr>
          <w:sz w:val="24"/>
          <w:szCs w:val="24"/>
        </w:rPr>
        <w:t>s</w:t>
      </w:r>
      <w:r w:rsidR="0019559A">
        <w:rPr>
          <w:sz w:val="24"/>
          <w:szCs w:val="24"/>
        </w:rPr>
        <w:t>’</w:t>
      </w:r>
      <w:r w:rsidR="00520A67">
        <w:rPr>
          <w:sz w:val="24"/>
          <w:szCs w:val="24"/>
        </w:rPr>
        <w:t xml:space="preserve"> bar complaints about a</w:t>
      </w:r>
      <w:r w:rsidR="00383E64">
        <w:rPr>
          <w:sz w:val="24"/>
          <w:szCs w:val="24"/>
        </w:rPr>
        <w:t xml:space="preserve"> particular circuit (the St. Loui</w:t>
      </w:r>
      <w:r w:rsidR="00520A67">
        <w:rPr>
          <w:sz w:val="24"/>
          <w:szCs w:val="24"/>
        </w:rPr>
        <w:t xml:space="preserve">s Circuit) or even a specific </w:t>
      </w:r>
      <w:r w:rsidR="00383E64">
        <w:rPr>
          <w:sz w:val="24"/>
          <w:szCs w:val="24"/>
        </w:rPr>
        <w:t>judge</w:t>
      </w:r>
      <w:r w:rsidR="00520A67">
        <w:rPr>
          <w:sz w:val="24"/>
          <w:szCs w:val="24"/>
        </w:rPr>
        <w:t xml:space="preserve"> or judges</w:t>
      </w:r>
      <w:r w:rsidR="00383E64">
        <w:rPr>
          <w:sz w:val="24"/>
          <w:szCs w:val="24"/>
        </w:rPr>
        <w:t xml:space="preserve"> within that circuit?</w:t>
      </w:r>
      <w:r w:rsidR="00383E64">
        <w:rPr>
          <w:rStyle w:val="FootnoteReference"/>
          <w:sz w:val="24"/>
          <w:szCs w:val="24"/>
        </w:rPr>
        <w:footnoteReference w:id="63"/>
      </w:r>
      <w:r w:rsidR="00B67587">
        <w:rPr>
          <w:sz w:val="24"/>
          <w:szCs w:val="24"/>
        </w:rPr>
        <w:t xml:space="preserve"> </w:t>
      </w:r>
    </w:p>
    <w:p w:rsidR="00550603" w:rsidRDefault="00720D4E" w:rsidP="005029AB">
      <w:pPr>
        <w:spacing w:line="360" w:lineRule="auto"/>
        <w:rPr>
          <w:sz w:val="24"/>
          <w:szCs w:val="24"/>
        </w:rPr>
      </w:pPr>
      <w:r>
        <w:rPr>
          <w:sz w:val="24"/>
          <w:szCs w:val="24"/>
        </w:rPr>
        <w:tab/>
      </w:r>
      <w:r w:rsidR="006B3298">
        <w:rPr>
          <w:sz w:val="24"/>
          <w:szCs w:val="24"/>
        </w:rPr>
        <w:t>Generally, Shepherd</w:t>
      </w:r>
      <w:r w:rsidR="00F2689A">
        <w:rPr>
          <w:sz w:val="24"/>
          <w:szCs w:val="24"/>
        </w:rPr>
        <w:t>, the ATRA, and the Chamber of Commerce</w:t>
      </w:r>
      <w:r w:rsidR="006B3298">
        <w:rPr>
          <w:sz w:val="24"/>
          <w:szCs w:val="24"/>
        </w:rPr>
        <w:t xml:space="preserve"> </w:t>
      </w:r>
      <w:r w:rsidR="00F2560A">
        <w:rPr>
          <w:sz w:val="24"/>
          <w:szCs w:val="24"/>
        </w:rPr>
        <w:t>frame the i</w:t>
      </w:r>
      <w:r w:rsidR="00B07003">
        <w:rPr>
          <w:sz w:val="24"/>
          <w:szCs w:val="24"/>
        </w:rPr>
        <w:t>ssue of M</w:t>
      </w:r>
      <w:r w:rsidR="00A31982">
        <w:rPr>
          <w:sz w:val="24"/>
          <w:szCs w:val="24"/>
        </w:rPr>
        <w:t>M</w:t>
      </w:r>
      <w:r w:rsidR="00B07003">
        <w:rPr>
          <w:sz w:val="24"/>
          <w:szCs w:val="24"/>
        </w:rPr>
        <w:t>PA reform relative to the aforementioned</w:t>
      </w:r>
      <w:r w:rsidR="00F2560A">
        <w:rPr>
          <w:sz w:val="24"/>
          <w:szCs w:val="24"/>
        </w:rPr>
        <w:t xml:space="preserve"> se</w:t>
      </w:r>
      <w:r w:rsidR="00ED7F82">
        <w:rPr>
          <w:sz w:val="24"/>
          <w:szCs w:val="24"/>
        </w:rPr>
        <w:t xml:space="preserve">lf-selected set of </w:t>
      </w:r>
      <w:r w:rsidR="00787081">
        <w:rPr>
          <w:sz w:val="24"/>
          <w:szCs w:val="24"/>
        </w:rPr>
        <w:t xml:space="preserve">supposedly </w:t>
      </w:r>
      <w:r w:rsidR="00ED7F82">
        <w:rPr>
          <w:sz w:val="24"/>
          <w:szCs w:val="24"/>
        </w:rPr>
        <w:t>absurd</w:t>
      </w:r>
      <w:r w:rsidR="00754B1A">
        <w:rPr>
          <w:sz w:val="24"/>
          <w:szCs w:val="24"/>
        </w:rPr>
        <w:t xml:space="preserve"> </w:t>
      </w:r>
      <w:r w:rsidR="00ED7F82">
        <w:rPr>
          <w:sz w:val="24"/>
          <w:szCs w:val="24"/>
        </w:rPr>
        <w:t>cases</w:t>
      </w:r>
      <w:r w:rsidR="00754B1A">
        <w:rPr>
          <w:sz w:val="24"/>
          <w:szCs w:val="24"/>
        </w:rPr>
        <w:t>, usually concerning food products,</w:t>
      </w:r>
      <w:r w:rsidR="00CB7554">
        <w:rPr>
          <w:sz w:val="24"/>
          <w:szCs w:val="24"/>
        </w:rPr>
        <w:t xml:space="preserve"> in the context of St. Louis being a “judicial hellhole.”</w:t>
      </w:r>
      <w:r w:rsidR="00CB7554">
        <w:rPr>
          <w:rStyle w:val="FootnoteReference"/>
          <w:sz w:val="24"/>
          <w:szCs w:val="24"/>
        </w:rPr>
        <w:footnoteReference w:id="64"/>
      </w:r>
      <w:r w:rsidR="00CB7554">
        <w:rPr>
          <w:sz w:val="24"/>
          <w:szCs w:val="24"/>
        </w:rPr>
        <w:t xml:space="preserve"> </w:t>
      </w:r>
      <w:r w:rsidR="0087675B">
        <w:rPr>
          <w:sz w:val="24"/>
          <w:szCs w:val="24"/>
        </w:rPr>
        <w:t>T</w:t>
      </w:r>
      <w:r w:rsidR="00AB6F27">
        <w:rPr>
          <w:sz w:val="24"/>
          <w:szCs w:val="24"/>
        </w:rPr>
        <w:t xml:space="preserve">hese are </w:t>
      </w:r>
      <w:r w:rsidR="00F2560A">
        <w:rPr>
          <w:sz w:val="24"/>
          <w:szCs w:val="24"/>
        </w:rPr>
        <w:t>not representative of the median M</w:t>
      </w:r>
      <w:r w:rsidR="00A31982">
        <w:rPr>
          <w:sz w:val="24"/>
          <w:szCs w:val="24"/>
        </w:rPr>
        <w:t>M</w:t>
      </w:r>
      <w:r w:rsidR="00F2560A">
        <w:rPr>
          <w:sz w:val="24"/>
          <w:szCs w:val="24"/>
        </w:rPr>
        <w:t>PA case</w:t>
      </w:r>
      <w:r w:rsidR="006B19B4">
        <w:rPr>
          <w:sz w:val="24"/>
          <w:szCs w:val="24"/>
        </w:rPr>
        <w:t>, which would probably</w:t>
      </w:r>
      <w:r w:rsidR="00CB7554">
        <w:rPr>
          <w:sz w:val="24"/>
          <w:szCs w:val="24"/>
        </w:rPr>
        <w:t xml:space="preserve"> </w:t>
      </w:r>
      <w:r w:rsidR="006B19B4">
        <w:rPr>
          <w:sz w:val="24"/>
          <w:szCs w:val="24"/>
        </w:rPr>
        <w:t>look more like</w:t>
      </w:r>
      <w:r w:rsidR="0087675B">
        <w:rPr>
          <w:sz w:val="24"/>
          <w:szCs w:val="24"/>
        </w:rPr>
        <w:t xml:space="preserve"> a colorable claim against a used-car dealer</w:t>
      </w:r>
      <w:r w:rsidR="00F2560A">
        <w:rPr>
          <w:sz w:val="24"/>
          <w:szCs w:val="24"/>
        </w:rPr>
        <w:t xml:space="preserve">. </w:t>
      </w:r>
      <w:r w:rsidR="00CB498A">
        <w:rPr>
          <w:sz w:val="24"/>
          <w:szCs w:val="24"/>
        </w:rPr>
        <w:t xml:space="preserve">Like </w:t>
      </w:r>
      <w:r w:rsidR="00B83B3B">
        <w:rPr>
          <w:sz w:val="24"/>
          <w:szCs w:val="24"/>
        </w:rPr>
        <w:t xml:space="preserve">Chamber of Commerce head </w:t>
      </w:r>
      <w:r w:rsidR="00CB498A">
        <w:rPr>
          <w:sz w:val="24"/>
          <w:szCs w:val="24"/>
        </w:rPr>
        <w:t xml:space="preserve">Dan Mehan’s </w:t>
      </w:r>
      <w:r w:rsidR="006B19B4">
        <w:rPr>
          <w:sz w:val="24"/>
          <w:szCs w:val="24"/>
        </w:rPr>
        <w:lastRenderedPageBreak/>
        <w:t xml:space="preserve">emphasis on </w:t>
      </w:r>
      <w:r w:rsidR="0003621F">
        <w:rPr>
          <w:sz w:val="24"/>
          <w:szCs w:val="24"/>
        </w:rPr>
        <w:t>a particular candy suit (which was ultimately dismissed anyway),</w:t>
      </w:r>
      <w:r w:rsidR="0003621F">
        <w:rPr>
          <w:rStyle w:val="FootnoteReference"/>
          <w:sz w:val="24"/>
          <w:szCs w:val="24"/>
        </w:rPr>
        <w:footnoteReference w:id="65"/>
      </w:r>
      <w:r w:rsidR="00FA77F6">
        <w:rPr>
          <w:sz w:val="24"/>
          <w:szCs w:val="24"/>
        </w:rPr>
        <w:t xml:space="preserve"> </w:t>
      </w:r>
      <w:r w:rsidR="00CB498A">
        <w:rPr>
          <w:sz w:val="24"/>
          <w:szCs w:val="24"/>
        </w:rPr>
        <w:t>or discussion of the notorious McDonald’s</w:t>
      </w:r>
      <w:r w:rsidR="00B77DAB">
        <w:rPr>
          <w:sz w:val="24"/>
          <w:szCs w:val="24"/>
        </w:rPr>
        <w:t>-</w:t>
      </w:r>
      <w:r w:rsidR="00CB498A">
        <w:rPr>
          <w:sz w:val="24"/>
          <w:szCs w:val="24"/>
        </w:rPr>
        <w:t>hot</w:t>
      </w:r>
      <w:r w:rsidR="00A53706">
        <w:rPr>
          <w:sz w:val="24"/>
          <w:szCs w:val="24"/>
        </w:rPr>
        <w:t>-</w:t>
      </w:r>
      <w:r w:rsidR="00CB498A">
        <w:rPr>
          <w:sz w:val="24"/>
          <w:szCs w:val="24"/>
        </w:rPr>
        <w:t xml:space="preserve">coffee case in an introductory torts class, </w:t>
      </w:r>
      <w:r w:rsidR="006B19B4">
        <w:rPr>
          <w:sz w:val="24"/>
          <w:szCs w:val="24"/>
        </w:rPr>
        <w:t>hy</w:t>
      </w:r>
      <w:r w:rsidR="00457AB9">
        <w:rPr>
          <w:sz w:val="24"/>
          <w:szCs w:val="24"/>
        </w:rPr>
        <w:t>perbolic examples act more as soundbi</w:t>
      </w:r>
      <w:r>
        <w:rPr>
          <w:sz w:val="24"/>
          <w:szCs w:val="24"/>
        </w:rPr>
        <w:t>tes and attention-grabbers</w:t>
      </w:r>
      <w:r w:rsidR="005F00D3">
        <w:rPr>
          <w:sz w:val="24"/>
          <w:szCs w:val="24"/>
        </w:rPr>
        <w:t xml:space="preserve"> for a passive audience</w:t>
      </w:r>
      <w:r>
        <w:rPr>
          <w:sz w:val="24"/>
          <w:szCs w:val="24"/>
        </w:rPr>
        <w:t xml:space="preserve"> than meaningful evidence with which to discuss policy. </w:t>
      </w:r>
      <w:r w:rsidR="00F50D8D">
        <w:rPr>
          <w:sz w:val="24"/>
          <w:szCs w:val="24"/>
        </w:rPr>
        <w:t>As Shepherd herself notes, “actual data on the number of fr</w:t>
      </w:r>
      <w:r w:rsidR="00D24DAF">
        <w:rPr>
          <w:sz w:val="24"/>
          <w:szCs w:val="24"/>
        </w:rPr>
        <w:t>ivolous cases is</w:t>
      </w:r>
      <w:r w:rsidR="00457AB9">
        <w:rPr>
          <w:sz w:val="24"/>
          <w:szCs w:val="24"/>
        </w:rPr>
        <w:t xml:space="preserve"> nonexistent</w:t>
      </w:r>
      <w:r w:rsidR="00F50D8D">
        <w:rPr>
          <w:sz w:val="24"/>
          <w:szCs w:val="24"/>
        </w:rPr>
        <w:t>”</w:t>
      </w:r>
      <w:r w:rsidR="00F50D8D">
        <w:rPr>
          <w:rStyle w:val="FootnoteReference"/>
          <w:sz w:val="24"/>
          <w:szCs w:val="24"/>
        </w:rPr>
        <w:footnoteReference w:id="66"/>
      </w:r>
      <w:r w:rsidR="00457AB9">
        <w:rPr>
          <w:sz w:val="24"/>
          <w:szCs w:val="24"/>
        </w:rPr>
        <w:t>—nonetheless, s</w:t>
      </w:r>
      <w:r w:rsidR="00184D7E">
        <w:rPr>
          <w:sz w:val="24"/>
          <w:szCs w:val="24"/>
        </w:rPr>
        <w:t>he seems willing to ext</w:t>
      </w:r>
      <w:r w:rsidR="00B83B3B">
        <w:rPr>
          <w:sz w:val="24"/>
          <w:szCs w:val="24"/>
        </w:rPr>
        <w:t>rapolate policy-oriented suppositions</w:t>
      </w:r>
      <w:r w:rsidR="00184D7E">
        <w:rPr>
          <w:sz w:val="24"/>
          <w:szCs w:val="24"/>
        </w:rPr>
        <w:t xml:space="preserve"> from some anecdotal data suggesting some amount of frivolous litigation.</w:t>
      </w:r>
      <w:r w:rsidR="00184D7E">
        <w:rPr>
          <w:rStyle w:val="FootnoteReference"/>
          <w:sz w:val="24"/>
          <w:szCs w:val="24"/>
        </w:rPr>
        <w:footnoteReference w:id="67"/>
      </w:r>
      <w:r w:rsidR="00096802">
        <w:rPr>
          <w:sz w:val="24"/>
          <w:szCs w:val="24"/>
        </w:rPr>
        <w:t xml:space="preserve"> </w:t>
      </w:r>
      <w:r w:rsidR="00283FAC">
        <w:rPr>
          <w:sz w:val="24"/>
          <w:szCs w:val="24"/>
        </w:rPr>
        <w:t>Likewise, she provides no citation for the assertion that “existing data suggest that this cycle has encouraged frivolous consumer protection lawsuits.”</w:t>
      </w:r>
      <w:r w:rsidR="00283FAC">
        <w:rPr>
          <w:rStyle w:val="FootnoteReference"/>
          <w:sz w:val="24"/>
          <w:szCs w:val="24"/>
        </w:rPr>
        <w:footnoteReference w:id="68"/>
      </w:r>
      <w:r w:rsidR="005F00D3">
        <w:rPr>
          <w:sz w:val="24"/>
          <w:szCs w:val="24"/>
        </w:rPr>
        <w:t xml:space="preserve"> </w:t>
      </w:r>
      <w:r w:rsidR="00096802" w:rsidRPr="00164078">
        <w:rPr>
          <w:b/>
          <w:bCs/>
          <w:sz w:val="24"/>
          <w:szCs w:val="24"/>
          <w:u w:val="single"/>
        </w:rPr>
        <w:t xml:space="preserve">Without actual data on genuinely frivolous lawsuits, however defined, </w:t>
      </w:r>
      <w:r w:rsidR="00E97EA8" w:rsidRPr="00164078">
        <w:rPr>
          <w:b/>
          <w:bCs/>
          <w:sz w:val="24"/>
          <w:szCs w:val="24"/>
          <w:u w:val="single"/>
        </w:rPr>
        <w:t xml:space="preserve">many of Shepherd’s arguments ring hollow for they ultimately rely on </w:t>
      </w:r>
      <w:r w:rsidR="00030E13" w:rsidRPr="00164078">
        <w:rPr>
          <w:b/>
          <w:bCs/>
          <w:sz w:val="24"/>
          <w:szCs w:val="24"/>
          <w:u w:val="single"/>
        </w:rPr>
        <w:t xml:space="preserve">the </w:t>
      </w:r>
      <w:r w:rsidR="0005561C" w:rsidRPr="00164078">
        <w:rPr>
          <w:b/>
          <w:bCs/>
          <w:sz w:val="24"/>
          <w:szCs w:val="24"/>
          <w:u w:val="single"/>
        </w:rPr>
        <w:t xml:space="preserve">conceptual </w:t>
      </w:r>
      <w:r w:rsidR="00030E13" w:rsidRPr="00164078">
        <w:rPr>
          <w:b/>
          <w:bCs/>
          <w:sz w:val="24"/>
          <w:szCs w:val="24"/>
          <w:u w:val="single"/>
        </w:rPr>
        <w:t xml:space="preserve">notion that </w:t>
      </w:r>
      <w:r w:rsidR="00A3732A" w:rsidRPr="00164078">
        <w:rPr>
          <w:b/>
          <w:bCs/>
          <w:sz w:val="24"/>
          <w:szCs w:val="24"/>
          <w:u w:val="single"/>
        </w:rPr>
        <w:t xml:space="preserve">the existence of </w:t>
      </w:r>
      <w:r w:rsidR="00030E13" w:rsidRPr="00164078">
        <w:rPr>
          <w:b/>
          <w:bCs/>
          <w:sz w:val="24"/>
          <w:szCs w:val="24"/>
          <w:u w:val="single"/>
        </w:rPr>
        <w:t>frivolous M</w:t>
      </w:r>
      <w:r w:rsidR="00164078" w:rsidRPr="00164078">
        <w:rPr>
          <w:b/>
          <w:bCs/>
          <w:sz w:val="24"/>
          <w:szCs w:val="24"/>
          <w:u w:val="single"/>
        </w:rPr>
        <w:t>M</w:t>
      </w:r>
      <w:r w:rsidR="00030E13" w:rsidRPr="00164078">
        <w:rPr>
          <w:b/>
          <w:bCs/>
          <w:sz w:val="24"/>
          <w:szCs w:val="24"/>
          <w:u w:val="single"/>
        </w:rPr>
        <w:t>PA lawsuits render the Act suboptimal in aggregate and detract from job creation, innovation, pr</w:t>
      </w:r>
      <w:r w:rsidR="00C46043" w:rsidRPr="00164078">
        <w:rPr>
          <w:b/>
          <w:bCs/>
          <w:sz w:val="24"/>
          <w:szCs w:val="24"/>
          <w:u w:val="single"/>
        </w:rPr>
        <w:t>oduct-quality improvements, and so forth</w:t>
      </w:r>
      <w:r w:rsidR="00C46043">
        <w:rPr>
          <w:sz w:val="24"/>
          <w:szCs w:val="24"/>
        </w:rPr>
        <w:t>.</w:t>
      </w:r>
      <w:r w:rsidR="00C46043">
        <w:rPr>
          <w:rStyle w:val="FootnoteReference"/>
          <w:sz w:val="24"/>
          <w:szCs w:val="24"/>
        </w:rPr>
        <w:footnoteReference w:id="69"/>
      </w:r>
      <w:r w:rsidR="00CB159B">
        <w:rPr>
          <w:sz w:val="24"/>
          <w:szCs w:val="24"/>
        </w:rPr>
        <w:t xml:space="preserve"> </w:t>
      </w:r>
    </w:p>
    <w:p w:rsidR="00164078" w:rsidRDefault="00DB6983" w:rsidP="00230AC7">
      <w:pPr>
        <w:widowControl w:val="0"/>
        <w:spacing w:line="360" w:lineRule="auto"/>
        <w:rPr>
          <w:sz w:val="24"/>
          <w:szCs w:val="24"/>
        </w:rPr>
      </w:pPr>
      <w:r>
        <w:rPr>
          <w:sz w:val="24"/>
          <w:szCs w:val="24"/>
        </w:rPr>
        <w:tab/>
      </w:r>
      <w:r w:rsidR="00D266B4">
        <w:rPr>
          <w:sz w:val="24"/>
          <w:szCs w:val="24"/>
        </w:rPr>
        <w:t>Further, some of t</w:t>
      </w:r>
      <w:r w:rsidR="0003621F">
        <w:rPr>
          <w:sz w:val="24"/>
          <w:szCs w:val="24"/>
        </w:rPr>
        <w:t>he cases that Shepherd and others cite as facially absurd—e.g., the cupcake mix case</w:t>
      </w:r>
      <w:r w:rsidR="0003621F">
        <w:rPr>
          <w:rStyle w:val="FootnoteReference"/>
          <w:sz w:val="24"/>
          <w:szCs w:val="24"/>
        </w:rPr>
        <w:footnoteReference w:id="70"/>
      </w:r>
      <w:r w:rsidR="0003621F">
        <w:rPr>
          <w:sz w:val="24"/>
          <w:szCs w:val="24"/>
        </w:rPr>
        <w:t xml:space="preserve"> or the</w:t>
      </w:r>
      <w:r w:rsidR="00720D4E">
        <w:rPr>
          <w:sz w:val="24"/>
          <w:szCs w:val="24"/>
        </w:rPr>
        <w:t xml:space="preserve"> “free” upgraded Internet service case</w:t>
      </w:r>
      <w:r w:rsidR="00720D4E">
        <w:rPr>
          <w:rStyle w:val="FootnoteReference"/>
          <w:sz w:val="24"/>
          <w:szCs w:val="24"/>
        </w:rPr>
        <w:footnoteReference w:id="71"/>
      </w:r>
      <w:r w:rsidR="0003621F">
        <w:rPr>
          <w:sz w:val="24"/>
          <w:szCs w:val="24"/>
        </w:rPr>
        <w:t>—m</w:t>
      </w:r>
      <w:r w:rsidR="00720D4E">
        <w:rPr>
          <w:sz w:val="24"/>
          <w:szCs w:val="24"/>
        </w:rPr>
        <w:t xml:space="preserve">ay not actually be </w:t>
      </w:r>
      <w:r w:rsidR="005F7C17">
        <w:rPr>
          <w:sz w:val="24"/>
          <w:szCs w:val="24"/>
        </w:rPr>
        <w:t xml:space="preserve">that </w:t>
      </w:r>
      <w:r w:rsidR="00720D4E">
        <w:rPr>
          <w:sz w:val="24"/>
          <w:szCs w:val="24"/>
        </w:rPr>
        <w:t xml:space="preserve">absurd at all. While </w:t>
      </w:r>
      <w:r w:rsidR="001C264C">
        <w:rPr>
          <w:sz w:val="24"/>
          <w:szCs w:val="24"/>
        </w:rPr>
        <w:t xml:space="preserve">actual harm in such cases may well be </w:t>
      </w:r>
      <w:r w:rsidR="00184D7E">
        <w:rPr>
          <w:sz w:val="24"/>
          <w:szCs w:val="24"/>
        </w:rPr>
        <w:t>debatable</w:t>
      </w:r>
      <w:r w:rsidR="00615D2C">
        <w:rPr>
          <w:sz w:val="24"/>
          <w:szCs w:val="24"/>
        </w:rPr>
        <w:t>,</w:t>
      </w:r>
      <w:r w:rsidR="00184D7E">
        <w:rPr>
          <w:sz w:val="24"/>
          <w:szCs w:val="24"/>
        </w:rPr>
        <w:t xml:space="preserve"> </w:t>
      </w:r>
      <w:r w:rsidR="00615D2C">
        <w:rPr>
          <w:sz w:val="24"/>
          <w:szCs w:val="24"/>
        </w:rPr>
        <w:t>why, for example, should a food company be allowed to advertise “all natural”</w:t>
      </w:r>
      <w:r w:rsidR="00EA660C">
        <w:rPr>
          <w:sz w:val="24"/>
          <w:szCs w:val="24"/>
        </w:rPr>
        <w:t xml:space="preserve"> ingredients if</w:t>
      </w:r>
      <w:r w:rsidR="00615D2C">
        <w:rPr>
          <w:sz w:val="24"/>
          <w:szCs w:val="24"/>
        </w:rPr>
        <w:t xml:space="preserve"> not all of its ingredients are natural? </w:t>
      </w:r>
      <w:r w:rsidR="00184D7E">
        <w:rPr>
          <w:sz w:val="24"/>
          <w:szCs w:val="24"/>
        </w:rPr>
        <w:t>Why should Intern</w:t>
      </w:r>
      <w:r w:rsidR="006A4EAA">
        <w:rPr>
          <w:sz w:val="24"/>
          <w:szCs w:val="24"/>
        </w:rPr>
        <w:t>et service providers, who typically</w:t>
      </w:r>
      <w:r w:rsidR="00184D7E">
        <w:rPr>
          <w:sz w:val="24"/>
          <w:szCs w:val="24"/>
        </w:rPr>
        <w:t xml:space="preserve"> provide an essential servi</w:t>
      </w:r>
      <w:r w:rsidR="002C3F41">
        <w:rPr>
          <w:sz w:val="24"/>
          <w:szCs w:val="24"/>
        </w:rPr>
        <w:t xml:space="preserve">ce in an </w:t>
      </w:r>
      <w:r w:rsidR="00184D7E">
        <w:rPr>
          <w:sz w:val="24"/>
          <w:szCs w:val="24"/>
        </w:rPr>
        <w:t>oligopolistic market,</w:t>
      </w:r>
      <w:r w:rsidR="00C13631">
        <w:rPr>
          <w:rStyle w:val="FootnoteReference"/>
          <w:sz w:val="24"/>
          <w:szCs w:val="24"/>
        </w:rPr>
        <w:footnoteReference w:id="72"/>
      </w:r>
      <w:r w:rsidR="00D87AC8">
        <w:rPr>
          <w:sz w:val="24"/>
          <w:szCs w:val="24"/>
        </w:rPr>
        <w:t xml:space="preserve"> </w:t>
      </w:r>
      <w:r w:rsidR="00184D7E">
        <w:rPr>
          <w:sz w:val="24"/>
          <w:szCs w:val="24"/>
        </w:rPr>
        <w:t xml:space="preserve">be allowed to advertise speeds </w:t>
      </w:r>
      <w:r w:rsidR="00EA660C">
        <w:rPr>
          <w:sz w:val="24"/>
          <w:szCs w:val="24"/>
        </w:rPr>
        <w:t xml:space="preserve">if </w:t>
      </w:r>
      <w:r w:rsidR="00184D7E">
        <w:rPr>
          <w:sz w:val="24"/>
          <w:szCs w:val="24"/>
        </w:rPr>
        <w:t>they are not actually able to provide</w:t>
      </w:r>
      <w:r w:rsidR="00EA660C">
        <w:rPr>
          <w:sz w:val="24"/>
          <w:szCs w:val="24"/>
        </w:rPr>
        <w:t xml:space="preserve"> </w:t>
      </w:r>
      <w:r w:rsidR="00EA660C">
        <w:rPr>
          <w:sz w:val="24"/>
          <w:szCs w:val="24"/>
        </w:rPr>
        <w:lastRenderedPageBreak/>
        <w:t>them</w:t>
      </w:r>
      <w:r w:rsidR="00184D7E">
        <w:rPr>
          <w:sz w:val="24"/>
          <w:szCs w:val="24"/>
        </w:rPr>
        <w:t xml:space="preserve">? </w:t>
      </w:r>
      <w:r w:rsidR="00164078">
        <w:rPr>
          <w:sz w:val="24"/>
          <w:szCs w:val="24"/>
        </w:rPr>
        <w:t>Why should consumers consistently pay for such misrepresentations rather than the businesses that make them?</w:t>
      </w:r>
    </w:p>
    <w:p w:rsidR="00E521B9" w:rsidRDefault="00164078" w:rsidP="00230AC7">
      <w:pPr>
        <w:widowControl w:val="0"/>
        <w:spacing w:line="360" w:lineRule="auto"/>
        <w:rPr>
          <w:sz w:val="24"/>
          <w:szCs w:val="24"/>
        </w:rPr>
      </w:pPr>
      <w:r>
        <w:rPr>
          <w:sz w:val="24"/>
          <w:szCs w:val="24"/>
        </w:rPr>
        <w:tab/>
      </w:r>
      <w:r w:rsidR="00AF4D54">
        <w:rPr>
          <w:sz w:val="24"/>
          <w:szCs w:val="24"/>
        </w:rPr>
        <w:t xml:space="preserve">It is as if those who attack consumer protection statutes on the basis of such cases </w:t>
      </w:r>
      <w:r w:rsidR="00DB6983">
        <w:rPr>
          <w:sz w:val="24"/>
          <w:szCs w:val="24"/>
        </w:rPr>
        <w:t>take for granted that marketing claims li</w:t>
      </w:r>
      <w:r w:rsidR="008656F7">
        <w:rPr>
          <w:sz w:val="24"/>
          <w:szCs w:val="24"/>
        </w:rPr>
        <w:t>ke these entail harmless</w:t>
      </w:r>
      <w:r w:rsidR="00DB6983">
        <w:rPr>
          <w:sz w:val="24"/>
          <w:szCs w:val="24"/>
        </w:rPr>
        <w:t xml:space="preserve"> “puffery”</w:t>
      </w:r>
      <w:r w:rsidR="009C4AD4">
        <w:rPr>
          <w:sz w:val="24"/>
          <w:szCs w:val="24"/>
        </w:rPr>
        <w:t xml:space="preserve"> rather than </w:t>
      </w:r>
      <w:r w:rsidR="00395258">
        <w:rPr>
          <w:sz w:val="24"/>
          <w:szCs w:val="24"/>
        </w:rPr>
        <w:t xml:space="preserve">deception that can create real aggregate harms. </w:t>
      </w:r>
      <w:r w:rsidR="00A66940">
        <w:rPr>
          <w:sz w:val="24"/>
          <w:szCs w:val="24"/>
        </w:rPr>
        <w:t xml:space="preserve">Such cases may also establish useful precedent and not just be about compensating a given plaintiff for some marginal harm. For example, </w:t>
      </w:r>
      <w:r w:rsidR="009B7616">
        <w:rPr>
          <w:sz w:val="24"/>
          <w:szCs w:val="24"/>
        </w:rPr>
        <w:t>any number of consumers justifiably</w:t>
      </w:r>
      <w:r w:rsidR="00A66940">
        <w:rPr>
          <w:sz w:val="24"/>
          <w:szCs w:val="24"/>
        </w:rPr>
        <w:t xml:space="preserve"> care about whether their food is organically grown and/or absent of GMOs, yet food is routinely mislabeled</w:t>
      </w:r>
      <w:r w:rsidR="00846C8E">
        <w:rPr>
          <w:sz w:val="24"/>
          <w:szCs w:val="24"/>
        </w:rPr>
        <w:t xml:space="preserve"> or deceptively labeled</w:t>
      </w:r>
      <w:r w:rsidR="00A66940">
        <w:rPr>
          <w:sz w:val="24"/>
          <w:szCs w:val="24"/>
        </w:rPr>
        <w:t xml:space="preserve"> in this regard</w:t>
      </w:r>
      <w:r w:rsidR="008656F7">
        <w:rPr>
          <w:sz w:val="24"/>
          <w:szCs w:val="24"/>
        </w:rPr>
        <w:t>;</w:t>
      </w:r>
      <w:r w:rsidR="00A66940">
        <w:rPr>
          <w:rStyle w:val="FootnoteReference"/>
          <w:sz w:val="24"/>
          <w:szCs w:val="24"/>
        </w:rPr>
        <w:footnoteReference w:id="73"/>
      </w:r>
      <w:r w:rsidR="008656F7">
        <w:rPr>
          <w:sz w:val="24"/>
          <w:szCs w:val="24"/>
        </w:rPr>
        <w:t xml:space="preserve"> </w:t>
      </w:r>
      <w:r w:rsidR="00026DF0">
        <w:rPr>
          <w:sz w:val="24"/>
          <w:szCs w:val="24"/>
        </w:rPr>
        <w:t>why should companies</w:t>
      </w:r>
      <w:r w:rsidR="00007497">
        <w:rPr>
          <w:sz w:val="24"/>
          <w:szCs w:val="24"/>
        </w:rPr>
        <w:t xml:space="preserve"> be allowed to deceptively market their foods</w:t>
      </w:r>
      <w:r w:rsidR="00026DF0">
        <w:rPr>
          <w:sz w:val="24"/>
          <w:szCs w:val="24"/>
        </w:rPr>
        <w:t xml:space="preserve"> </w:t>
      </w:r>
      <w:r w:rsidR="00CA0DBE">
        <w:rPr>
          <w:sz w:val="24"/>
          <w:szCs w:val="24"/>
        </w:rPr>
        <w:t>and what benefits</w:t>
      </w:r>
      <w:r w:rsidR="00007497">
        <w:rPr>
          <w:sz w:val="24"/>
          <w:szCs w:val="24"/>
        </w:rPr>
        <w:t xml:space="preserve"> </w:t>
      </w:r>
      <w:r w:rsidR="00AB4A50">
        <w:rPr>
          <w:sz w:val="24"/>
          <w:szCs w:val="24"/>
        </w:rPr>
        <w:t xml:space="preserve">are being induced by allowing them to misleadingly market their products? </w:t>
      </w:r>
    </w:p>
    <w:p w:rsidR="00F136AF" w:rsidRPr="00F136AF" w:rsidRDefault="00F136AF" w:rsidP="00F136AF">
      <w:pPr>
        <w:spacing w:line="360" w:lineRule="auto"/>
        <w:jc w:val="center"/>
        <w:rPr>
          <w:b/>
          <w:i/>
          <w:sz w:val="24"/>
          <w:szCs w:val="24"/>
          <w:u w:val="single"/>
        </w:rPr>
      </w:pPr>
      <w:r w:rsidRPr="00F136AF">
        <w:rPr>
          <w:b/>
          <w:sz w:val="24"/>
          <w:szCs w:val="24"/>
          <w:u w:val="single"/>
        </w:rPr>
        <w:t xml:space="preserve">Arbitration and </w:t>
      </w:r>
      <w:r w:rsidRPr="00F136AF">
        <w:rPr>
          <w:b/>
          <w:i/>
          <w:sz w:val="24"/>
          <w:szCs w:val="24"/>
          <w:u w:val="single"/>
        </w:rPr>
        <w:t>Spokeo</w:t>
      </w:r>
    </w:p>
    <w:p w:rsidR="009B6BED" w:rsidRDefault="008F4FF8" w:rsidP="008F4FF8">
      <w:pPr>
        <w:spacing w:line="360" w:lineRule="auto"/>
        <w:rPr>
          <w:sz w:val="24"/>
          <w:szCs w:val="24"/>
        </w:rPr>
      </w:pPr>
      <w:r>
        <w:rPr>
          <w:sz w:val="24"/>
          <w:szCs w:val="24"/>
        </w:rPr>
        <w:tab/>
      </w:r>
      <w:r w:rsidR="00F136AF">
        <w:rPr>
          <w:sz w:val="24"/>
          <w:szCs w:val="24"/>
        </w:rPr>
        <w:t>A</w:t>
      </w:r>
      <w:r>
        <w:rPr>
          <w:sz w:val="24"/>
          <w:szCs w:val="24"/>
        </w:rPr>
        <w:t xml:space="preserve">t the national level, the Supreme Court has issued multiple decisions in relatively recent years—the most notable being </w:t>
      </w:r>
      <w:r>
        <w:rPr>
          <w:i/>
          <w:sz w:val="24"/>
          <w:szCs w:val="24"/>
        </w:rPr>
        <w:t>AT&amp;T Mobility LLC v. Concepcion</w:t>
      </w:r>
      <w:r w:rsidRPr="003C6C2F">
        <w:rPr>
          <w:rStyle w:val="FootnoteReference"/>
          <w:sz w:val="24"/>
          <w:szCs w:val="24"/>
        </w:rPr>
        <w:footnoteReference w:id="74"/>
      </w:r>
      <w:r w:rsidRPr="003C6C2F">
        <w:rPr>
          <w:sz w:val="24"/>
          <w:szCs w:val="24"/>
        </w:rPr>
        <w:t xml:space="preserve"> </w:t>
      </w:r>
      <w:r>
        <w:rPr>
          <w:sz w:val="24"/>
          <w:szCs w:val="24"/>
        </w:rPr>
        <w:t xml:space="preserve">and </w:t>
      </w:r>
      <w:r>
        <w:rPr>
          <w:i/>
          <w:sz w:val="24"/>
          <w:szCs w:val="24"/>
        </w:rPr>
        <w:t>Spokeo, Inc. v. Robins</w:t>
      </w:r>
      <w:r>
        <w:rPr>
          <w:rStyle w:val="FootnoteReference"/>
          <w:i/>
          <w:sz w:val="24"/>
          <w:szCs w:val="24"/>
        </w:rPr>
        <w:footnoteReference w:id="75"/>
      </w:r>
      <w:r>
        <w:rPr>
          <w:sz w:val="24"/>
          <w:szCs w:val="24"/>
        </w:rPr>
        <w:t xml:space="preserve">—that </w:t>
      </w:r>
      <w:r w:rsidR="00BC1A1F">
        <w:rPr>
          <w:sz w:val="24"/>
          <w:szCs w:val="24"/>
        </w:rPr>
        <w:t xml:space="preserve">tend to </w:t>
      </w:r>
      <w:r>
        <w:rPr>
          <w:sz w:val="24"/>
          <w:szCs w:val="24"/>
        </w:rPr>
        <w:t xml:space="preserve">limit the ability of consumers to sue companies in the public courts. </w:t>
      </w:r>
      <w:r>
        <w:rPr>
          <w:i/>
          <w:sz w:val="24"/>
          <w:szCs w:val="24"/>
        </w:rPr>
        <w:t>Concepcion</w:t>
      </w:r>
      <w:r>
        <w:rPr>
          <w:sz w:val="24"/>
          <w:szCs w:val="24"/>
        </w:rPr>
        <w:t xml:space="preserve"> concerned </w:t>
      </w:r>
      <w:r w:rsidR="00BC1A1F">
        <w:rPr>
          <w:sz w:val="24"/>
          <w:szCs w:val="24"/>
        </w:rPr>
        <w:t xml:space="preserve">the inclusion of a </w:t>
      </w:r>
      <w:r>
        <w:rPr>
          <w:sz w:val="24"/>
          <w:szCs w:val="24"/>
        </w:rPr>
        <w:t>binding arbitration</w:t>
      </w:r>
      <w:r w:rsidR="00BC1A1F">
        <w:rPr>
          <w:sz w:val="24"/>
          <w:szCs w:val="24"/>
        </w:rPr>
        <w:t xml:space="preserve"> provision</w:t>
      </w:r>
      <w:r>
        <w:rPr>
          <w:sz w:val="24"/>
          <w:szCs w:val="24"/>
        </w:rPr>
        <w:t>, a practice that has furtively affected the legal rights of millions of U.S. consumers.</w:t>
      </w:r>
      <w:r>
        <w:rPr>
          <w:rStyle w:val="FootnoteReference"/>
          <w:sz w:val="24"/>
          <w:szCs w:val="24"/>
        </w:rPr>
        <w:footnoteReference w:id="76"/>
      </w:r>
      <w:r w:rsidR="009B6BED">
        <w:rPr>
          <w:sz w:val="24"/>
          <w:szCs w:val="24"/>
        </w:rPr>
        <w:t xml:space="preserve"> Generally, if a consumer is bound by an arbitration agreement they will be compelled out of the public courts </w:t>
      </w:r>
      <w:r w:rsidR="007B3AA9">
        <w:rPr>
          <w:sz w:val="24"/>
          <w:szCs w:val="24"/>
        </w:rPr>
        <w:t>and into</w:t>
      </w:r>
      <w:r w:rsidR="00DE43FD">
        <w:rPr>
          <w:sz w:val="24"/>
          <w:szCs w:val="24"/>
        </w:rPr>
        <w:t xml:space="preserve"> private arbitration, which can expedite the litigation process but </w:t>
      </w:r>
      <w:r w:rsidR="00597BF0">
        <w:rPr>
          <w:sz w:val="24"/>
          <w:szCs w:val="24"/>
        </w:rPr>
        <w:t>also results in an al</w:t>
      </w:r>
      <w:r w:rsidR="00F37C9C">
        <w:rPr>
          <w:sz w:val="24"/>
          <w:szCs w:val="24"/>
        </w:rPr>
        <w:t>most total lack of transparency</w:t>
      </w:r>
      <w:r w:rsidR="007024B9">
        <w:rPr>
          <w:sz w:val="24"/>
          <w:szCs w:val="24"/>
        </w:rPr>
        <w:t xml:space="preserve"> that favors business</w:t>
      </w:r>
      <w:r w:rsidR="00F37C9C">
        <w:rPr>
          <w:sz w:val="24"/>
          <w:szCs w:val="24"/>
        </w:rPr>
        <w:t xml:space="preserve">. </w:t>
      </w:r>
      <w:r w:rsidR="00EB720B">
        <w:rPr>
          <w:sz w:val="24"/>
          <w:szCs w:val="24"/>
        </w:rPr>
        <w:t xml:space="preserve">The increased </w:t>
      </w:r>
      <w:r w:rsidR="00A549AD">
        <w:rPr>
          <w:sz w:val="24"/>
          <w:szCs w:val="24"/>
        </w:rPr>
        <w:t xml:space="preserve">use and enforcement of arbitration clauses, which often include class-action waivers, </w:t>
      </w:r>
      <w:r w:rsidR="009F113F">
        <w:rPr>
          <w:sz w:val="24"/>
          <w:szCs w:val="24"/>
        </w:rPr>
        <w:t xml:space="preserve">have had the predictable effect of chilling consumer class actions. </w:t>
      </w:r>
      <w:r w:rsidR="008B1604">
        <w:rPr>
          <w:sz w:val="24"/>
          <w:szCs w:val="24"/>
        </w:rPr>
        <w:t>Even though t</w:t>
      </w:r>
      <w:r w:rsidR="00B30671">
        <w:rPr>
          <w:sz w:val="24"/>
          <w:szCs w:val="24"/>
        </w:rPr>
        <w:t>here is good reason to believe that Congress never intended the Federal Arbitration Act</w:t>
      </w:r>
      <w:r w:rsidR="00A549AD">
        <w:rPr>
          <w:sz w:val="24"/>
          <w:szCs w:val="24"/>
        </w:rPr>
        <w:t xml:space="preserve"> (“FAA”)</w:t>
      </w:r>
      <w:r w:rsidR="00B30671">
        <w:rPr>
          <w:sz w:val="24"/>
          <w:szCs w:val="24"/>
        </w:rPr>
        <w:t xml:space="preserve">—the </w:t>
      </w:r>
      <w:r w:rsidR="007B3AA9">
        <w:rPr>
          <w:sz w:val="24"/>
          <w:szCs w:val="24"/>
        </w:rPr>
        <w:t xml:space="preserve">1925 </w:t>
      </w:r>
      <w:r w:rsidR="00B30671">
        <w:rPr>
          <w:sz w:val="24"/>
          <w:szCs w:val="24"/>
        </w:rPr>
        <w:t>legislation</w:t>
      </w:r>
      <w:r w:rsidR="007B3AA9">
        <w:rPr>
          <w:sz w:val="24"/>
          <w:szCs w:val="24"/>
        </w:rPr>
        <w:t xml:space="preserve"> that the Supre</w:t>
      </w:r>
      <w:r w:rsidR="00A549AD">
        <w:rPr>
          <w:sz w:val="24"/>
          <w:szCs w:val="24"/>
        </w:rPr>
        <w:t xml:space="preserve">me Court </w:t>
      </w:r>
      <w:r w:rsidR="00A549AD">
        <w:rPr>
          <w:sz w:val="24"/>
          <w:szCs w:val="24"/>
        </w:rPr>
        <w:lastRenderedPageBreak/>
        <w:t xml:space="preserve">relied upon </w:t>
      </w:r>
      <w:r w:rsidR="008D7CBE">
        <w:rPr>
          <w:sz w:val="24"/>
          <w:szCs w:val="24"/>
        </w:rPr>
        <w:t xml:space="preserve">in </w:t>
      </w:r>
      <w:r w:rsidR="008D7CBE">
        <w:rPr>
          <w:i/>
          <w:sz w:val="24"/>
          <w:szCs w:val="24"/>
        </w:rPr>
        <w:t>Concepcion</w:t>
      </w:r>
      <w:r w:rsidR="008D7CBE">
        <w:rPr>
          <w:sz w:val="24"/>
          <w:szCs w:val="24"/>
        </w:rPr>
        <w:t>—</w:t>
      </w:r>
      <w:r w:rsidR="008751C7">
        <w:rPr>
          <w:sz w:val="24"/>
          <w:szCs w:val="24"/>
        </w:rPr>
        <w:t>to apply to the consumer</w:t>
      </w:r>
      <w:r w:rsidR="009F113F">
        <w:rPr>
          <w:sz w:val="24"/>
          <w:szCs w:val="24"/>
        </w:rPr>
        <w:t xml:space="preserve"> (or labor)</w:t>
      </w:r>
      <w:r w:rsidR="008751C7">
        <w:rPr>
          <w:sz w:val="24"/>
          <w:szCs w:val="24"/>
        </w:rPr>
        <w:t xml:space="preserve"> context,</w:t>
      </w:r>
      <w:r w:rsidR="009F113F">
        <w:rPr>
          <w:rStyle w:val="FootnoteReference"/>
          <w:sz w:val="24"/>
          <w:szCs w:val="24"/>
        </w:rPr>
        <w:footnoteReference w:id="77"/>
      </w:r>
      <w:r w:rsidR="008751C7">
        <w:rPr>
          <w:sz w:val="24"/>
          <w:szCs w:val="24"/>
        </w:rPr>
        <w:t xml:space="preserve"> </w:t>
      </w:r>
      <w:r w:rsidR="00FC1A95">
        <w:rPr>
          <w:sz w:val="24"/>
          <w:szCs w:val="24"/>
        </w:rPr>
        <w:t xml:space="preserve">which generally does not entail the same symmetry in negotiating power </w:t>
      </w:r>
      <w:r w:rsidR="00A549AD">
        <w:rPr>
          <w:sz w:val="24"/>
          <w:szCs w:val="24"/>
        </w:rPr>
        <w:t xml:space="preserve">as does the commercial context, </w:t>
      </w:r>
      <w:r w:rsidR="006E39B4">
        <w:rPr>
          <w:sz w:val="24"/>
          <w:szCs w:val="24"/>
        </w:rPr>
        <w:t xml:space="preserve">a 5-4 Supreme Court majority </w:t>
      </w:r>
      <w:r w:rsidR="00A549AD">
        <w:rPr>
          <w:sz w:val="24"/>
          <w:szCs w:val="24"/>
        </w:rPr>
        <w:t>held that California’s determination that class-action waivers in arbitration agreements were unenforceable under certain conditions was preempted by the FAA.</w:t>
      </w:r>
      <w:r w:rsidR="00A549AD">
        <w:rPr>
          <w:rStyle w:val="FootnoteReference"/>
          <w:sz w:val="24"/>
          <w:szCs w:val="24"/>
        </w:rPr>
        <w:footnoteReference w:id="78"/>
      </w:r>
      <w:r w:rsidR="00A549AD">
        <w:rPr>
          <w:sz w:val="24"/>
          <w:szCs w:val="24"/>
        </w:rPr>
        <w:t xml:space="preserve"> </w:t>
      </w:r>
      <w:r w:rsidR="009B6BED">
        <w:rPr>
          <w:sz w:val="24"/>
          <w:szCs w:val="24"/>
        </w:rPr>
        <w:t xml:space="preserve">Frequently, </w:t>
      </w:r>
      <w:r w:rsidR="00720D4E">
        <w:rPr>
          <w:sz w:val="24"/>
          <w:szCs w:val="24"/>
        </w:rPr>
        <w:t>agreements with arbitration cl</w:t>
      </w:r>
      <w:r w:rsidR="00B56235">
        <w:rPr>
          <w:sz w:val="24"/>
          <w:szCs w:val="24"/>
        </w:rPr>
        <w:t>auses also contain forum-selection and choice-of-law</w:t>
      </w:r>
      <w:r w:rsidR="00720D4E">
        <w:rPr>
          <w:sz w:val="24"/>
          <w:szCs w:val="24"/>
        </w:rPr>
        <w:t xml:space="preserve"> provisions, </w:t>
      </w:r>
      <w:r w:rsidR="00B56235">
        <w:rPr>
          <w:sz w:val="24"/>
          <w:szCs w:val="24"/>
        </w:rPr>
        <w:t>which determine</w:t>
      </w:r>
      <w:r w:rsidR="007024B9">
        <w:rPr>
          <w:sz w:val="24"/>
          <w:szCs w:val="24"/>
        </w:rPr>
        <w:t xml:space="preserve"> where the arbitration will be held geographically and what law will apply. </w:t>
      </w:r>
      <w:r w:rsidR="00B56235">
        <w:rPr>
          <w:sz w:val="24"/>
          <w:szCs w:val="24"/>
        </w:rPr>
        <w:t xml:space="preserve">For example, a credit card company based in South Dakota or Utah </w:t>
      </w:r>
      <w:r w:rsidR="007806A9">
        <w:rPr>
          <w:sz w:val="24"/>
          <w:szCs w:val="24"/>
        </w:rPr>
        <w:t xml:space="preserve">may well specify in a user agreement that South Dakota or Utah law shall apply even if the consumer lives in another state. </w:t>
      </w:r>
      <w:r w:rsidR="00FD31A9">
        <w:rPr>
          <w:sz w:val="24"/>
          <w:szCs w:val="24"/>
        </w:rPr>
        <w:t>Such provisions generally benefit businesses by enhancing the predictability of arbitration outcomes and, of course, by allo</w:t>
      </w:r>
      <w:r w:rsidR="005162A9">
        <w:rPr>
          <w:sz w:val="24"/>
          <w:szCs w:val="24"/>
        </w:rPr>
        <w:t>wing them (if they can reasonably</w:t>
      </w:r>
      <w:r w:rsidR="00FD31A9">
        <w:rPr>
          <w:sz w:val="24"/>
          <w:szCs w:val="24"/>
        </w:rPr>
        <w:t xml:space="preserve"> do so) to select jurisdictions with statutes less friendly to consumers. </w:t>
      </w:r>
    </w:p>
    <w:p w:rsidR="00792273" w:rsidRDefault="00A500D7" w:rsidP="008F4FF8">
      <w:pPr>
        <w:spacing w:line="360" w:lineRule="auto"/>
        <w:rPr>
          <w:sz w:val="24"/>
          <w:szCs w:val="24"/>
        </w:rPr>
      </w:pPr>
      <w:r>
        <w:rPr>
          <w:sz w:val="24"/>
          <w:szCs w:val="24"/>
        </w:rPr>
        <w:tab/>
        <w:t>Interest</w:t>
      </w:r>
      <w:r w:rsidR="00687765">
        <w:rPr>
          <w:sz w:val="24"/>
          <w:szCs w:val="24"/>
        </w:rPr>
        <w:t>ingly, the lawsuit against TAMKO</w:t>
      </w:r>
      <w:r>
        <w:rPr>
          <w:sz w:val="24"/>
          <w:szCs w:val="24"/>
        </w:rPr>
        <w:t xml:space="preserve"> that so inflamed Humphreys</w:t>
      </w:r>
      <w:r w:rsidR="004149A9">
        <w:rPr>
          <w:rStyle w:val="FootnoteReference"/>
          <w:sz w:val="24"/>
          <w:szCs w:val="24"/>
        </w:rPr>
        <w:footnoteReference w:id="79"/>
      </w:r>
      <w:r>
        <w:rPr>
          <w:sz w:val="24"/>
          <w:szCs w:val="24"/>
        </w:rPr>
        <w:t xml:space="preserve"> involved a Missouri court’s refusal to enf</w:t>
      </w:r>
      <w:r w:rsidR="003104C0">
        <w:rPr>
          <w:sz w:val="24"/>
          <w:szCs w:val="24"/>
        </w:rPr>
        <w:t>orce an arbitration provision</w:t>
      </w:r>
      <w:r>
        <w:rPr>
          <w:sz w:val="24"/>
          <w:szCs w:val="24"/>
        </w:rPr>
        <w:t>.</w:t>
      </w:r>
      <w:r w:rsidR="003104C0">
        <w:rPr>
          <w:rStyle w:val="FootnoteReference"/>
          <w:sz w:val="24"/>
          <w:szCs w:val="24"/>
        </w:rPr>
        <w:footnoteReference w:id="80"/>
      </w:r>
      <w:r w:rsidR="000F5502">
        <w:rPr>
          <w:sz w:val="24"/>
          <w:szCs w:val="24"/>
        </w:rPr>
        <w:t xml:space="preserve"> </w:t>
      </w:r>
      <w:r>
        <w:rPr>
          <w:sz w:val="24"/>
          <w:szCs w:val="24"/>
        </w:rPr>
        <w:t>Humphreys’ apparent derision of the M</w:t>
      </w:r>
      <w:r w:rsidR="00047607">
        <w:rPr>
          <w:sz w:val="24"/>
          <w:szCs w:val="24"/>
        </w:rPr>
        <w:t>M</w:t>
      </w:r>
      <w:r>
        <w:rPr>
          <w:sz w:val="24"/>
          <w:szCs w:val="24"/>
        </w:rPr>
        <w:t xml:space="preserve">PA was </w:t>
      </w:r>
      <w:r w:rsidRPr="00047607">
        <w:rPr>
          <w:b/>
          <w:bCs/>
          <w:i/>
          <w:iCs/>
          <w:sz w:val="24"/>
          <w:szCs w:val="24"/>
        </w:rPr>
        <w:t>largely misplaced, for the dispositive issue in the case was whether the plaintiffs had accepted the arbitration provision simply by purchasing a bundle of shingles</w:t>
      </w:r>
      <w:r w:rsidR="00DD73D3" w:rsidRPr="00047607">
        <w:rPr>
          <w:b/>
          <w:bCs/>
          <w:i/>
          <w:iCs/>
          <w:sz w:val="24"/>
          <w:szCs w:val="24"/>
        </w:rPr>
        <w:t xml:space="preserve"> in which a </w:t>
      </w:r>
      <w:r w:rsidR="003104C0" w:rsidRPr="00047607">
        <w:rPr>
          <w:b/>
          <w:bCs/>
          <w:i/>
          <w:iCs/>
          <w:sz w:val="24"/>
          <w:szCs w:val="24"/>
        </w:rPr>
        <w:t xml:space="preserve">fine-print </w:t>
      </w:r>
      <w:r w:rsidR="00DD73D3" w:rsidRPr="00047607">
        <w:rPr>
          <w:b/>
          <w:bCs/>
          <w:i/>
          <w:iCs/>
          <w:sz w:val="24"/>
          <w:szCs w:val="24"/>
        </w:rPr>
        <w:t>copy of the warranty and arbitration clause were included;</w:t>
      </w:r>
      <w:r w:rsidR="00DD73D3">
        <w:rPr>
          <w:sz w:val="24"/>
          <w:szCs w:val="24"/>
        </w:rPr>
        <w:t xml:space="preserve"> the plaintiffs had also failed to receive a </w:t>
      </w:r>
      <w:r w:rsidR="00547FD8">
        <w:rPr>
          <w:sz w:val="24"/>
          <w:szCs w:val="24"/>
        </w:rPr>
        <w:t>copy and were not made aware of the arbitration provision.</w:t>
      </w:r>
      <w:r>
        <w:rPr>
          <w:rStyle w:val="FootnoteReference"/>
          <w:sz w:val="24"/>
          <w:szCs w:val="24"/>
        </w:rPr>
        <w:footnoteReference w:id="81"/>
      </w:r>
      <w:r w:rsidR="00DD73D3">
        <w:rPr>
          <w:sz w:val="24"/>
          <w:szCs w:val="24"/>
        </w:rPr>
        <w:t xml:space="preserve"> </w:t>
      </w:r>
      <w:r w:rsidR="003104C0">
        <w:rPr>
          <w:sz w:val="24"/>
          <w:szCs w:val="24"/>
        </w:rPr>
        <w:t>The court properly held that the plaintiffs could not be compelled to arbitrate because a copy of the arbitration provision happened to be contained within the bundle they purchased.</w:t>
      </w:r>
      <w:r w:rsidR="003104C0">
        <w:rPr>
          <w:rStyle w:val="FootnoteReference"/>
          <w:sz w:val="24"/>
          <w:szCs w:val="24"/>
        </w:rPr>
        <w:footnoteReference w:id="82"/>
      </w:r>
      <w:r w:rsidR="000F5502">
        <w:rPr>
          <w:sz w:val="24"/>
          <w:szCs w:val="24"/>
        </w:rPr>
        <w:t xml:space="preserve"> </w:t>
      </w:r>
      <w:r w:rsidR="000F5502" w:rsidRPr="00F50733">
        <w:rPr>
          <w:b/>
          <w:bCs/>
          <w:i/>
          <w:iCs/>
          <w:sz w:val="24"/>
          <w:szCs w:val="24"/>
        </w:rPr>
        <w:t>Therefore, the Humphreys-funded attack on the M</w:t>
      </w:r>
      <w:r w:rsidR="00F50733" w:rsidRPr="00F50733">
        <w:rPr>
          <w:b/>
          <w:bCs/>
          <w:i/>
          <w:iCs/>
          <w:sz w:val="24"/>
          <w:szCs w:val="24"/>
        </w:rPr>
        <w:t>M</w:t>
      </w:r>
      <w:r w:rsidR="000F5502" w:rsidRPr="00F50733">
        <w:rPr>
          <w:b/>
          <w:bCs/>
          <w:i/>
          <w:iCs/>
          <w:sz w:val="24"/>
          <w:szCs w:val="24"/>
        </w:rPr>
        <w:t>PA was either completely misplaced and blindly retaliatory or he ultimately believed that the plaintiffs should not have had a cause of action at all even though the shingles they purchased with a 30-year warranty allegedly began to fail after a much shorter period</w:t>
      </w:r>
      <w:r w:rsidR="000F5502">
        <w:rPr>
          <w:sz w:val="24"/>
          <w:szCs w:val="24"/>
        </w:rPr>
        <w:t>.</w:t>
      </w:r>
      <w:r w:rsidR="000F5502">
        <w:rPr>
          <w:rStyle w:val="FootnoteReference"/>
          <w:sz w:val="24"/>
          <w:szCs w:val="24"/>
        </w:rPr>
        <w:footnoteReference w:id="83"/>
      </w:r>
      <w:r w:rsidR="000F5502">
        <w:rPr>
          <w:sz w:val="24"/>
          <w:szCs w:val="24"/>
        </w:rPr>
        <w:t xml:space="preserve"> If the latter is true, then perhaps Humphreys believes that </w:t>
      </w:r>
      <w:r w:rsidR="000F5502">
        <w:rPr>
          <w:sz w:val="24"/>
          <w:szCs w:val="24"/>
        </w:rPr>
        <w:lastRenderedPageBreak/>
        <w:t xml:space="preserve">Missouri should not have a consumer protection </w:t>
      </w:r>
      <w:r w:rsidR="00DD4B59">
        <w:rPr>
          <w:sz w:val="24"/>
          <w:szCs w:val="24"/>
        </w:rPr>
        <w:t xml:space="preserve">statute of all. Of course, all </w:t>
      </w:r>
      <w:r w:rsidR="00DD4B59" w:rsidRPr="00F50733">
        <w:rPr>
          <w:b/>
          <w:bCs/>
          <w:i/>
          <w:iCs/>
          <w:sz w:val="24"/>
          <w:szCs w:val="24"/>
        </w:rPr>
        <w:t xml:space="preserve">this </w:t>
      </w:r>
      <w:r w:rsidR="00DD4B59" w:rsidRPr="00547C20">
        <w:rPr>
          <w:b/>
          <w:bCs/>
          <w:i/>
          <w:iCs/>
          <w:sz w:val="24"/>
          <w:szCs w:val="24"/>
          <w:u w:val="single"/>
        </w:rPr>
        <w:t>may</w:t>
      </w:r>
      <w:r w:rsidR="00687765" w:rsidRPr="00547C20">
        <w:rPr>
          <w:b/>
          <w:bCs/>
          <w:i/>
          <w:iCs/>
          <w:sz w:val="24"/>
          <w:szCs w:val="24"/>
          <w:u w:val="single"/>
        </w:rPr>
        <w:t xml:space="preserve"> well have been avoided if TAMKO</w:t>
      </w:r>
      <w:r w:rsidR="00DD4B59" w:rsidRPr="00547C20">
        <w:rPr>
          <w:b/>
          <w:bCs/>
          <w:i/>
          <w:iCs/>
          <w:sz w:val="24"/>
          <w:szCs w:val="24"/>
          <w:u w:val="single"/>
        </w:rPr>
        <w:t xml:space="preserve"> had simply agreed to honor the plaintiffs’ warranty claims in full</w:t>
      </w:r>
      <w:r w:rsidR="00DD4B59" w:rsidRPr="00547C20">
        <w:rPr>
          <w:sz w:val="24"/>
          <w:szCs w:val="24"/>
          <w:u w:val="single"/>
        </w:rPr>
        <w:t>.</w:t>
      </w:r>
      <w:r w:rsidR="00DD4B59">
        <w:rPr>
          <w:rStyle w:val="FootnoteReference"/>
          <w:sz w:val="24"/>
          <w:szCs w:val="24"/>
        </w:rPr>
        <w:footnoteReference w:id="84"/>
      </w:r>
    </w:p>
    <w:p w:rsidR="00997AEF" w:rsidRPr="00AF1FEC" w:rsidRDefault="00792273" w:rsidP="00BC1864">
      <w:pPr>
        <w:widowControl w:val="0"/>
        <w:spacing w:line="360" w:lineRule="auto"/>
        <w:rPr>
          <w:sz w:val="24"/>
          <w:szCs w:val="24"/>
        </w:rPr>
      </w:pPr>
      <w:r>
        <w:rPr>
          <w:sz w:val="24"/>
          <w:szCs w:val="24"/>
        </w:rPr>
        <w:tab/>
        <w:t xml:space="preserve">The Supreme Court in </w:t>
      </w:r>
      <w:r>
        <w:rPr>
          <w:i/>
          <w:sz w:val="24"/>
          <w:szCs w:val="24"/>
        </w:rPr>
        <w:t>Spokeo</w:t>
      </w:r>
      <w:r w:rsidR="007C0176">
        <w:rPr>
          <w:sz w:val="24"/>
          <w:szCs w:val="24"/>
        </w:rPr>
        <w:t>, which concerned a technical violation of</w:t>
      </w:r>
      <w:r w:rsidR="00B71FB2">
        <w:rPr>
          <w:sz w:val="24"/>
          <w:szCs w:val="24"/>
        </w:rPr>
        <w:t xml:space="preserve"> the Fair Credit Reporting Act</w:t>
      </w:r>
      <w:r w:rsidR="007C0176">
        <w:rPr>
          <w:sz w:val="24"/>
          <w:szCs w:val="24"/>
        </w:rPr>
        <w:t xml:space="preserve"> </w:t>
      </w:r>
      <w:r w:rsidR="0004374B">
        <w:rPr>
          <w:sz w:val="24"/>
          <w:szCs w:val="24"/>
        </w:rPr>
        <w:tab/>
        <w:t>without an allegation of the actual harm</w:t>
      </w:r>
      <w:r w:rsidR="00B71FB2">
        <w:rPr>
          <w:sz w:val="24"/>
          <w:szCs w:val="24"/>
        </w:rPr>
        <w:t xml:space="preserve"> (“injury in fact”)</w:t>
      </w:r>
      <w:r w:rsidR="0004374B">
        <w:rPr>
          <w:sz w:val="24"/>
          <w:szCs w:val="24"/>
        </w:rPr>
        <w:t xml:space="preserve"> required for Article III standing, </w:t>
      </w:r>
      <w:r w:rsidR="00997AEF">
        <w:rPr>
          <w:sz w:val="24"/>
          <w:szCs w:val="24"/>
        </w:rPr>
        <w:t>disagreed with the circuit court’s assessment that the plaintiff had sufficiently alleged facts so as to establish standing and remanded the case.</w:t>
      </w:r>
      <w:r w:rsidR="00997AEF">
        <w:rPr>
          <w:rStyle w:val="FootnoteReference"/>
          <w:sz w:val="24"/>
          <w:szCs w:val="24"/>
        </w:rPr>
        <w:footnoteReference w:id="85"/>
      </w:r>
      <w:r w:rsidR="00997AEF">
        <w:rPr>
          <w:sz w:val="24"/>
          <w:szCs w:val="24"/>
        </w:rPr>
        <w:t xml:space="preserve"> </w:t>
      </w:r>
      <w:r w:rsidR="00F37C9C">
        <w:rPr>
          <w:sz w:val="24"/>
          <w:szCs w:val="24"/>
        </w:rPr>
        <w:t>Cooper</w:t>
      </w:r>
      <w:r w:rsidR="00C53DD3">
        <w:rPr>
          <w:sz w:val="24"/>
          <w:szCs w:val="24"/>
        </w:rPr>
        <w:t xml:space="preserve"> and Shepherd</w:t>
      </w:r>
      <w:r w:rsidR="00F37C9C">
        <w:rPr>
          <w:sz w:val="24"/>
          <w:szCs w:val="24"/>
        </w:rPr>
        <w:t xml:space="preserve"> note that </w:t>
      </w:r>
      <w:r w:rsidR="00F37C9C">
        <w:rPr>
          <w:i/>
          <w:sz w:val="24"/>
          <w:szCs w:val="24"/>
        </w:rPr>
        <w:t>Spokeo</w:t>
      </w:r>
      <w:r w:rsidR="00F37C9C">
        <w:rPr>
          <w:sz w:val="24"/>
          <w:szCs w:val="24"/>
        </w:rPr>
        <w:t xml:space="preserve"> “may go some way toward establishing an injury requirement,”</w:t>
      </w:r>
      <w:r w:rsidR="00C53DD3">
        <w:rPr>
          <w:rStyle w:val="FootnoteReference"/>
          <w:sz w:val="24"/>
          <w:szCs w:val="24"/>
        </w:rPr>
        <w:footnoteReference w:id="86"/>
      </w:r>
      <w:r w:rsidR="00C53DD3">
        <w:rPr>
          <w:sz w:val="24"/>
          <w:szCs w:val="24"/>
        </w:rPr>
        <w:t xml:space="preserve"> wh</w:t>
      </w:r>
      <w:r w:rsidR="00456055">
        <w:rPr>
          <w:sz w:val="24"/>
          <w:szCs w:val="24"/>
        </w:rPr>
        <w:t>ich was ultimately their core recommendation for consumer law reform (the demonstration of actual harm).</w:t>
      </w:r>
      <w:r w:rsidR="00456055">
        <w:rPr>
          <w:rStyle w:val="FootnoteReference"/>
          <w:sz w:val="24"/>
          <w:szCs w:val="24"/>
        </w:rPr>
        <w:footnoteReference w:id="87"/>
      </w:r>
      <w:r w:rsidR="00AF1FEC">
        <w:rPr>
          <w:sz w:val="24"/>
          <w:szCs w:val="24"/>
        </w:rPr>
        <w:t xml:space="preserve"> While </w:t>
      </w:r>
      <w:r w:rsidR="00AF1FEC">
        <w:rPr>
          <w:i/>
          <w:sz w:val="24"/>
          <w:szCs w:val="24"/>
        </w:rPr>
        <w:t>Spokeo</w:t>
      </w:r>
      <w:r w:rsidR="00AF1FEC">
        <w:rPr>
          <w:sz w:val="24"/>
          <w:szCs w:val="24"/>
        </w:rPr>
        <w:t>, as a 20</w:t>
      </w:r>
      <w:r w:rsidR="00656E22">
        <w:rPr>
          <w:sz w:val="24"/>
          <w:szCs w:val="24"/>
        </w:rPr>
        <w:t xml:space="preserve">16 decision, is </w:t>
      </w:r>
      <w:r w:rsidR="00A31982">
        <w:rPr>
          <w:sz w:val="24"/>
          <w:szCs w:val="24"/>
        </w:rPr>
        <w:t xml:space="preserve">fairly </w:t>
      </w:r>
      <w:r w:rsidR="00656E22">
        <w:rPr>
          <w:sz w:val="24"/>
          <w:szCs w:val="24"/>
        </w:rPr>
        <w:t xml:space="preserve">recent with still uncertain mass effects, it would facially seem </w:t>
      </w:r>
      <w:r w:rsidR="009C7A95">
        <w:rPr>
          <w:sz w:val="24"/>
          <w:szCs w:val="24"/>
        </w:rPr>
        <w:t xml:space="preserve">to address directly any concern with undue litigation over merely technical violations—i.e., some sort of unlawful practice that did not result in any actual harm. </w:t>
      </w:r>
    </w:p>
    <w:p w:rsidR="003200E5" w:rsidRDefault="002A648D" w:rsidP="00B13678">
      <w:pPr>
        <w:spacing w:line="360" w:lineRule="auto"/>
        <w:rPr>
          <w:sz w:val="24"/>
          <w:szCs w:val="24"/>
        </w:rPr>
      </w:pPr>
      <w:r>
        <w:rPr>
          <w:sz w:val="24"/>
          <w:szCs w:val="24"/>
        </w:rPr>
        <w:tab/>
      </w:r>
      <w:r w:rsidR="00997AEF" w:rsidRPr="00997AEF">
        <w:rPr>
          <w:b/>
          <w:i/>
          <w:sz w:val="24"/>
          <w:szCs w:val="24"/>
        </w:rPr>
        <w:t>Regardless,</w:t>
      </w:r>
      <w:r w:rsidR="00997AEF">
        <w:rPr>
          <w:sz w:val="24"/>
          <w:szCs w:val="24"/>
        </w:rPr>
        <w:t xml:space="preserve"> </w:t>
      </w:r>
      <w:r w:rsidR="00997AEF">
        <w:rPr>
          <w:b/>
          <w:i/>
          <w:sz w:val="24"/>
          <w:szCs w:val="24"/>
        </w:rPr>
        <w:t>a</w:t>
      </w:r>
      <w:r w:rsidRPr="00605513">
        <w:rPr>
          <w:b/>
          <w:i/>
          <w:sz w:val="24"/>
          <w:szCs w:val="24"/>
        </w:rPr>
        <w:t xml:space="preserve">n analysis of the state of </w:t>
      </w:r>
      <w:r w:rsidR="0086363F" w:rsidRPr="00605513">
        <w:rPr>
          <w:b/>
          <w:i/>
          <w:sz w:val="24"/>
          <w:szCs w:val="24"/>
        </w:rPr>
        <w:t xml:space="preserve">Missouri consumer law </w:t>
      </w:r>
      <w:r w:rsidR="00E051F0" w:rsidRPr="00605513">
        <w:rPr>
          <w:b/>
          <w:i/>
          <w:sz w:val="24"/>
          <w:szCs w:val="24"/>
        </w:rPr>
        <w:t xml:space="preserve">that fails to address, in particular, </w:t>
      </w:r>
      <w:r w:rsidR="0078035C" w:rsidRPr="00605513">
        <w:rPr>
          <w:b/>
          <w:i/>
          <w:sz w:val="24"/>
          <w:szCs w:val="24"/>
        </w:rPr>
        <w:t>arbitration agreements</w:t>
      </w:r>
      <w:r w:rsidR="00FF0AF5">
        <w:rPr>
          <w:b/>
          <w:i/>
          <w:sz w:val="24"/>
          <w:szCs w:val="24"/>
        </w:rPr>
        <w:t xml:space="preserve">, as well as </w:t>
      </w:r>
      <w:r w:rsidR="0078035C" w:rsidRPr="00605513">
        <w:rPr>
          <w:b/>
          <w:i/>
          <w:sz w:val="24"/>
          <w:szCs w:val="24"/>
        </w:rPr>
        <w:t xml:space="preserve">the many lawsuits filed against consumers by, in particular, financial entities in the </w:t>
      </w:r>
      <w:r w:rsidR="0078035C" w:rsidRPr="00B455EF">
        <w:rPr>
          <w:b/>
          <w:i/>
          <w:sz w:val="24"/>
          <w:szCs w:val="24"/>
          <w:u w:val="single"/>
        </w:rPr>
        <w:t>public</w:t>
      </w:r>
      <w:r w:rsidR="0078035C" w:rsidRPr="00605513">
        <w:rPr>
          <w:b/>
          <w:i/>
          <w:sz w:val="24"/>
          <w:szCs w:val="24"/>
        </w:rPr>
        <w:t xml:space="preserve"> courts (with the companies often able to compel arbitration if the c</w:t>
      </w:r>
      <w:r w:rsidR="00CF4F1B">
        <w:rPr>
          <w:b/>
          <w:i/>
          <w:sz w:val="24"/>
          <w:szCs w:val="24"/>
        </w:rPr>
        <w:t>onsumer counterclaims), is incomplete</w:t>
      </w:r>
      <w:r w:rsidR="0078035C" w:rsidRPr="00605513">
        <w:rPr>
          <w:b/>
          <w:i/>
          <w:sz w:val="24"/>
          <w:szCs w:val="24"/>
        </w:rPr>
        <w:t xml:space="preserve"> if it purports to actually care about the condition of the Missouri consumer</w:t>
      </w:r>
      <w:r w:rsidR="0078035C">
        <w:rPr>
          <w:sz w:val="24"/>
          <w:szCs w:val="24"/>
        </w:rPr>
        <w:t xml:space="preserve">. </w:t>
      </w:r>
      <w:r w:rsidR="0004374B">
        <w:rPr>
          <w:sz w:val="24"/>
          <w:szCs w:val="24"/>
        </w:rPr>
        <w:t xml:space="preserve">Obviously, the expansion of </w:t>
      </w:r>
      <w:r w:rsidR="000C5FDF">
        <w:rPr>
          <w:sz w:val="24"/>
          <w:szCs w:val="24"/>
        </w:rPr>
        <w:t>consumer arbitration, including prevalent class-action waivers (the M</w:t>
      </w:r>
      <w:r w:rsidR="00002251">
        <w:rPr>
          <w:sz w:val="24"/>
          <w:szCs w:val="24"/>
        </w:rPr>
        <w:t>M</w:t>
      </w:r>
      <w:r w:rsidR="000C5FDF">
        <w:rPr>
          <w:sz w:val="24"/>
          <w:szCs w:val="24"/>
        </w:rPr>
        <w:t>PA has its own class-action requirements),</w:t>
      </w:r>
      <w:r w:rsidR="00D56B5B">
        <w:rPr>
          <w:sz w:val="24"/>
          <w:szCs w:val="24"/>
        </w:rPr>
        <w:t xml:space="preserve"> </w:t>
      </w:r>
      <w:r w:rsidR="000C5FDF">
        <w:rPr>
          <w:sz w:val="24"/>
          <w:szCs w:val="24"/>
        </w:rPr>
        <w:t xml:space="preserve">and the standing requirement asserted in </w:t>
      </w:r>
      <w:r w:rsidR="000C5FDF">
        <w:rPr>
          <w:i/>
          <w:sz w:val="24"/>
          <w:szCs w:val="24"/>
        </w:rPr>
        <w:t>Spokeo</w:t>
      </w:r>
      <w:r w:rsidR="000C5FDF">
        <w:rPr>
          <w:sz w:val="24"/>
          <w:szCs w:val="24"/>
        </w:rPr>
        <w:t xml:space="preserve"> do not mean that the M</w:t>
      </w:r>
      <w:r w:rsidR="00002251">
        <w:rPr>
          <w:sz w:val="24"/>
          <w:szCs w:val="24"/>
        </w:rPr>
        <w:t>M</w:t>
      </w:r>
      <w:r w:rsidR="000C5FDF">
        <w:rPr>
          <w:sz w:val="24"/>
          <w:szCs w:val="24"/>
        </w:rPr>
        <w:t>PA is optimal or that it should be construed so as to compensate for other difficulties consumers face—this is neither rational nor the function of law. However, the narrow and largely unsubstantiated conclusions, as discussed above, put forth by Shepherd and the ATRA also cannot be considered in isolation if they actually purport to care</w:t>
      </w:r>
      <w:r w:rsidR="00D8325A">
        <w:rPr>
          <w:sz w:val="24"/>
          <w:szCs w:val="24"/>
        </w:rPr>
        <w:t xml:space="preserve"> about the </w:t>
      </w:r>
      <w:r w:rsidR="00074700">
        <w:rPr>
          <w:sz w:val="24"/>
          <w:szCs w:val="24"/>
        </w:rPr>
        <w:t xml:space="preserve">overall </w:t>
      </w:r>
      <w:r w:rsidR="00D8325A">
        <w:rPr>
          <w:sz w:val="24"/>
          <w:szCs w:val="24"/>
        </w:rPr>
        <w:t xml:space="preserve">welfare </w:t>
      </w:r>
      <w:r w:rsidR="00CF0D68">
        <w:rPr>
          <w:sz w:val="24"/>
          <w:szCs w:val="24"/>
        </w:rPr>
        <w:t xml:space="preserve">and rights </w:t>
      </w:r>
      <w:r w:rsidR="00D8325A">
        <w:rPr>
          <w:sz w:val="24"/>
          <w:szCs w:val="24"/>
        </w:rPr>
        <w:t>o</w:t>
      </w:r>
      <w:r w:rsidR="00074700">
        <w:rPr>
          <w:sz w:val="24"/>
          <w:szCs w:val="24"/>
        </w:rPr>
        <w:t>f consumers</w:t>
      </w:r>
      <w:r w:rsidR="00D8325A">
        <w:rPr>
          <w:sz w:val="24"/>
          <w:szCs w:val="24"/>
        </w:rPr>
        <w:t xml:space="preserve">. </w:t>
      </w:r>
    </w:p>
    <w:p w:rsidR="00BC1864" w:rsidRDefault="003200E5" w:rsidP="00C93E6D">
      <w:pPr>
        <w:spacing w:line="360" w:lineRule="auto"/>
        <w:rPr>
          <w:sz w:val="24"/>
          <w:szCs w:val="24"/>
        </w:rPr>
      </w:pPr>
      <w:r>
        <w:rPr>
          <w:sz w:val="24"/>
          <w:szCs w:val="24"/>
        </w:rPr>
        <w:tab/>
      </w:r>
      <w:r w:rsidR="00D56B5B">
        <w:rPr>
          <w:sz w:val="24"/>
          <w:szCs w:val="24"/>
        </w:rPr>
        <w:t xml:space="preserve">Reality for many ordinary </w:t>
      </w:r>
      <w:r w:rsidR="0094153B">
        <w:rPr>
          <w:sz w:val="24"/>
          <w:szCs w:val="24"/>
        </w:rPr>
        <w:t>consumers</w:t>
      </w:r>
      <w:r w:rsidR="00D56B5B">
        <w:rPr>
          <w:sz w:val="24"/>
          <w:szCs w:val="24"/>
        </w:rPr>
        <w:t xml:space="preserve"> (in Missouri and nationally)</w:t>
      </w:r>
      <w:r w:rsidR="0094153B">
        <w:rPr>
          <w:sz w:val="24"/>
          <w:szCs w:val="24"/>
        </w:rPr>
        <w:t>, in keeping with the finding of Cooper and Shepherd noted above,</w:t>
      </w:r>
      <w:r w:rsidR="0094153B">
        <w:rPr>
          <w:rStyle w:val="FootnoteReference"/>
          <w:sz w:val="24"/>
          <w:szCs w:val="24"/>
        </w:rPr>
        <w:footnoteReference w:id="88"/>
      </w:r>
      <w:r w:rsidR="0094153B">
        <w:rPr>
          <w:sz w:val="24"/>
          <w:szCs w:val="24"/>
        </w:rPr>
        <w:t xml:space="preserve"> entails increasing debt levels, recourse to payday lending and other high-interest sources of liquidity, increased exposure to subprime auto-lending (longer loan periods at high interest, often for cars that will soon require repairs), more expansive </w:t>
      </w:r>
      <w:r w:rsidR="0094153B">
        <w:rPr>
          <w:sz w:val="24"/>
          <w:szCs w:val="24"/>
        </w:rPr>
        <w:lastRenderedPageBreak/>
        <w:t xml:space="preserve">(and often aggressive) debt collection schemes, </w:t>
      </w:r>
      <w:r w:rsidR="006A6081">
        <w:rPr>
          <w:sz w:val="24"/>
          <w:szCs w:val="24"/>
        </w:rPr>
        <w:t xml:space="preserve">the constant threat of identity theft, and </w:t>
      </w:r>
      <w:r w:rsidR="00704494">
        <w:rPr>
          <w:sz w:val="24"/>
          <w:szCs w:val="24"/>
        </w:rPr>
        <w:t xml:space="preserve">consumer reports that may take years or even decades to correct when they contain an error. </w:t>
      </w:r>
      <w:r w:rsidR="00336344">
        <w:rPr>
          <w:sz w:val="24"/>
          <w:szCs w:val="24"/>
        </w:rPr>
        <w:t>Put simply, if the M</w:t>
      </w:r>
      <w:r w:rsidR="001351E7">
        <w:rPr>
          <w:sz w:val="24"/>
          <w:szCs w:val="24"/>
        </w:rPr>
        <w:t>M</w:t>
      </w:r>
      <w:r w:rsidR="00336344">
        <w:rPr>
          <w:sz w:val="24"/>
          <w:szCs w:val="24"/>
        </w:rPr>
        <w:t xml:space="preserve">PA were to be gutted (as </w:t>
      </w:r>
      <w:r w:rsidR="005C6479">
        <w:rPr>
          <w:sz w:val="24"/>
          <w:szCs w:val="24"/>
        </w:rPr>
        <w:t>was</w:t>
      </w:r>
      <w:r w:rsidR="001351E7">
        <w:rPr>
          <w:sz w:val="24"/>
          <w:szCs w:val="24"/>
        </w:rPr>
        <w:t xml:space="preserve"> </w:t>
      </w:r>
      <w:r w:rsidR="00336344">
        <w:rPr>
          <w:sz w:val="24"/>
          <w:szCs w:val="24"/>
        </w:rPr>
        <w:t>proposed by Missouri Senate Bill No. 5), that</w:t>
      </w:r>
      <w:r w:rsidR="001351E7">
        <w:rPr>
          <w:sz w:val="24"/>
          <w:szCs w:val="24"/>
        </w:rPr>
        <w:t>,</w:t>
      </w:r>
      <w:r w:rsidR="00336344">
        <w:rPr>
          <w:sz w:val="24"/>
          <w:szCs w:val="24"/>
        </w:rPr>
        <w:t xml:space="preserve"> in combination with the ability of many companies who do business in Missouri—particularly large ones with boundless resources and sophisticated legal teams—</w:t>
      </w:r>
      <w:r w:rsidR="002358D6">
        <w:rPr>
          <w:sz w:val="24"/>
          <w:szCs w:val="24"/>
        </w:rPr>
        <w:t>to compel arbitration, make use of public courts only when seeking declaratory judgments,</w:t>
      </w:r>
      <w:r w:rsidR="00DE2490">
        <w:rPr>
          <w:sz w:val="24"/>
          <w:szCs w:val="24"/>
        </w:rPr>
        <w:t xml:space="preserve"> generally exploit barriers to collective action,</w:t>
      </w:r>
      <w:r w:rsidR="002358D6">
        <w:rPr>
          <w:sz w:val="24"/>
          <w:szCs w:val="24"/>
        </w:rPr>
        <w:t xml:space="preserve"> and </w:t>
      </w:r>
      <w:r w:rsidR="00E11012">
        <w:rPr>
          <w:sz w:val="24"/>
          <w:szCs w:val="24"/>
        </w:rPr>
        <w:t xml:space="preserve">perhaps </w:t>
      </w:r>
      <w:r w:rsidR="002358D6">
        <w:rPr>
          <w:sz w:val="24"/>
          <w:szCs w:val="24"/>
        </w:rPr>
        <w:t xml:space="preserve">to press standing issues (according to </w:t>
      </w:r>
      <w:r w:rsidR="002358D6">
        <w:rPr>
          <w:i/>
          <w:sz w:val="24"/>
          <w:szCs w:val="24"/>
        </w:rPr>
        <w:t>Spokeo</w:t>
      </w:r>
      <w:r w:rsidR="002358D6">
        <w:rPr>
          <w:sz w:val="24"/>
          <w:szCs w:val="24"/>
        </w:rPr>
        <w:t xml:space="preserve"> as well as </w:t>
      </w:r>
      <w:r w:rsidR="002358D6">
        <w:rPr>
          <w:i/>
          <w:sz w:val="24"/>
          <w:szCs w:val="24"/>
        </w:rPr>
        <w:t>Twombly</w:t>
      </w:r>
      <w:r w:rsidR="002358D6" w:rsidRPr="000A3373">
        <w:rPr>
          <w:sz w:val="24"/>
          <w:szCs w:val="24"/>
        </w:rPr>
        <w:t>/</w:t>
      </w:r>
      <w:r w:rsidR="002358D6">
        <w:rPr>
          <w:i/>
          <w:sz w:val="24"/>
          <w:szCs w:val="24"/>
        </w:rPr>
        <w:t>Iqbal</w:t>
      </w:r>
      <w:r w:rsidR="002358D6">
        <w:rPr>
          <w:sz w:val="24"/>
          <w:szCs w:val="24"/>
        </w:rPr>
        <w:t>)</w:t>
      </w:r>
      <w:r w:rsidR="006710DD">
        <w:rPr>
          <w:sz w:val="24"/>
          <w:szCs w:val="24"/>
        </w:rPr>
        <w:t>,</w:t>
      </w:r>
      <w:r w:rsidR="002358D6" w:rsidRPr="002358D6">
        <w:rPr>
          <w:rStyle w:val="FootnoteReference"/>
          <w:sz w:val="24"/>
          <w:szCs w:val="24"/>
        </w:rPr>
        <w:footnoteReference w:id="89"/>
      </w:r>
      <w:r w:rsidR="006710DD">
        <w:rPr>
          <w:sz w:val="24"/>
          <w:szCs w:val="24"/>
        </w:rPr>
        <w:t xml:space="preserve"> </w:t>
      </w:r>
      <w:r w:rsidR="000A3373">
        <w:rPr>
          <w:sz w:val="24"/>
          <w:szCs w:val="24"/>
        </w:rPr>
        <w:t>c</w:t>
      </w:r>
      <w:r w:rsidR="006710DD">
        <w:rPr>
          <w:sz w:val="24"/>
          <w:szCs w:val="24"/>
        </w:rPr>
        <w:t xml:space="preserve">ould assure that Missouri consumers </w:t>
      </w:r>
      <w:r w:rsidR="006710DD">
        <w:rPr>
          <w:i/>
          <w:sz w:val="24"/>
          <w:szCs w:val="24"/>
        </w:rPr>
        <w:t>collectively</w:t>
      </w:r>
      <w:r w:rsidR="006710DD">
        <w:rPr>
          <w:sz w:val="24"/>
          <w:szCs w:val="24"/>
        </w:rPr>
        <w:t xml:space="preserve"> </w:t>
      </w:r>
      <w:r w:rsidR="000A3373">
        <w:rPr>
          <w:sz w:val="24"/>
          <w:szCs w:val="24"/>
        </w:rPr>
        <w:t xml:space="preserve">continue to </w:t>
      </w:r>
      <w:r w:rsidR="006710DD">
        <w:rPr>
          <w:sz w:val="24"/>
          <w:szCs w:val="24"/>
        </w:rPr>
        <w:t xml:space="preserve">lose power relative to businesses, especially large corporations. </w:t>
      </w:r>
      <w:r w:rsidR="008C6D99">
        <w:rPr>
          <w:sz w:val="24"/>
          <w:szCs w:val="24"/>
        </w:rPr>
        <w:t xml:space="preserve">Of course, the presumed response to all this would be that </w:t>
      </w:r>
      <w:r w:rsidR="00704494">
        <w:rPr>
          <w:sz w:val="24"/>
          <w:szCs w:val="24"/>
        </w:rPr>
        <w:t xml:space="preserve">an </w:t>
      </w:r>
      <w:r w:rsidR="00D72F7C">
        <w:rPr>
          <w:sz w:val="24"/>
          <w:szCs w:val="24"/>
        </w:rPr>
        <w:t>“</w:t>
      </w:r>
      <w:r w:rsidR="00704494">
        <w:rPr>
          <w:sz w:val="24"/>
          <w:szCs w:val="24"/>
        </w:rPr>
        <w:t>expansive</w:t>
      </w:r>
      <w:r w:rsidR="00D72F7C">
        <w:rPr>
          <w:sz w:val="24"/>
          <w:szCs w:val="24"/>
        </w:rPr>
        <w:t>”</w:t>
      </w:r>
      <w:r w:rsidR="00704494">
        <w:rPr>
          <w:sz w:val="24"/>
          <w:szCs w:val="24"/>
        </w:rPr>
        <w:t xml:space="preserve"> M</w:t>
      </w:r>
      <w:r w:rsidR="001351E7">
        <w:rPr>
          <w:sz w:val="24"/>
          <w:szCs w:val="24"/>
        </w:rPr>
        <w:t>M</w:t>
      </w:r>
      <w:r w:rsidR="00704494">
        <w:rPr>
          <w:sz w:val="24"/>
          <w:szCs w:val="24"/>
        </w:rPr>
        <w:t>PA and related litigation</w:t>
      </w:r>
      <w:r w:rsidR="00317A5A">
        <w:rPr>
          <w:sz w:val="24"/>
          <w:szCs w:val="24"/>
        </w:rPr>
        <w:t xml:space="preserve"> </w:t>
      </w:r>
      <w:r w:rsidR="00317A5A">
        <w:rPr>
          <w:i/>
          <w:sz w:val="24"/>
          <w:szCs w:val="24"/>
        </w:rPr>
        <w:t>hurt</w:t>
      </w:r>
      <w:r w:rsidR="00317A5A">
        <w:rPr>
          <w:sz w:val="24"/>
          <w:szCs w:val="24"/>
        </w:rPr>
        <w:t xml:space="preserve"> Missouri consumers collectively while overwhelmingly aiding plaintiffs’ attorneys </w:t>
      </w:r>
      <w:r w:rsidR="005C6479">
        <w:rPr>
          <w:sz w:val="24"/>
          <w:szCs w:val="24"/>
        </w:rPr>
        <w:t xml:space="preserve">almost </w:t>
      </w:r>
      <w:r w:rsidR="00317A5A">
        <w:rPr>
          <w:sz w:val="24"/>
          <w:szCs w:val="24"/>
        </w:rPr>
        <w:t>exclusively</w:t>
      </w:r>
      <w:r w:rsidR="00336344">
        <w:rPr>
          <w:rStyle w:val="FootnoteReference"/>
          <w:sz w:val="24"/>
          <w:szCs w:val="24"/>
        </w:rPr>
        <w:footnoteReference w:id="90"/>
      </w:r>
      <w:r w:rsidR="00317A5A">
        <w:rPr>
          <w:sz w:val="24"/>
          <w:szCs w:val="24"/>
        </w:rPr>
        <w:t>—there is simply no real evidence of this assertion provided in the Shepherd/ATRA pieces beyond the anecdotal or conceptual. While it is easy enough to take this asse</w:t>
      </w:r>
      <w:r>
        <w:rPr>
          <w:sz w:val="24"/>
          <w:szCs w:val="24"/>
        </w:rPr>
        <w:t xml:space="preserve">rtion as a truism based upon, say, a set of </w:t>
      </w:r>
      <w:r w:rsidR="00317A5A">
        <w:rPr>
          <w:sz w:val="24"/>
          <w:szCs w:val="24"/>
        </w:rPr>
        <w:t>class action</w:t>
      </w:r>
      <w:r>
        <w:rPr>
          <w:sz w:val="24"/>
          <w:szCs w:val="24"/>
        </w:rPr>
        <w:t>s wherein</w:t>
      </w:r>
      <w:r w:rsidR="00317A5A">
        <w:rPr>
          <w:sz w:val="24"/>
          <w:szCs w:val="24"/>
        </w:rPr>
        <w:t xml:space="preserve"> the plaintiffs’ attorneys receive a large payment while individual plaintiffs receive very little, </w:t>
      </w:r>
      <w:r w:rsidR="00826B2E">
        <w:rPr>
          <w:sz w:val="24"/>
          <w:szCs w:val="24"/>
        </w:rPr>
        <w:t>there is no</w:t>
      </w:r>
      <w:r w:rsidR="00001D20">
        <w:rPr>
          <w:sz w:val="24"/>
          <w:szCs w:val="24"/>
        </w:rPr>
        <w:t xml:space="preserve"> overt</w:t>
      </w:r>
      <w:r w:rsidR="00826B2E">
        <w:rPr>
          <w:sz w:val="24"/>
          <w:szCs w:val="24"/>
        </w:rPr>
        <w:t xml:space="preserve"> evidence that this is the case in aggregate. </w:t>
      </w:r>
    </w:p>
    <w:p w:rsidR="006F69B9" w:rsidRPr="000E2616" w:rsidRDefault="000E2616" w:rsidP="000E2616">
      <w:pPr>
        <w:spacing w:line="360" w:lineRule="auto"/>
        <w:jc w:val="center"/>
        <w:rPr>
          <w:b/>
          <w:sz w:val="24"/>
          <w:szCs w:val="24"/>
          <w:u w:val="single"/>
        </w:rPr>
      </w:pPr>
      <w:r>
        <w:rPr>
          <w:b/>
          <w:sz w:val="24"/>
          <w:szCs w:val="24"/>
          <w:u w:val="single"/>
        </w:rPr>
        <w:t xml:space="preserve">Missouri </w:t>
      </w:r>
      <w:r w:rsidRPr="000E2616">
        <w:rPr>
          <w:b/>
          <w:sz w:val="24"/>
          <w:szCs w:val="24"/>
          <w:u w:val="single"/>
        </w:rPr>
        <w:t>Senate Bill No. 5</w:t>
      </w:r>
    </w:p>
    <w:p w:rsidR="007D59A3" w:rsidRDefault="00D33A00" w:rsidP="00FB4B2A">
      <w:pPr>
        <w:spacing w:line="360" w:lineRule="auto"/>
        <w:rPr>
          <w:sz w:val="24"/>
          <w:szCs w:val="24"/>
        </w:rPr>
      </w:pPr>
      <w:r>
        <w:rPr>
          <w:sz w:val="24"/>
          <w:szCs w:val="24"/>
        </w:rPr>
        <w:tab/>
      </w:r>
      <w:r w:rsidR="003E158D">
        <w:rPr>
          <w:sz w:val="24"/>
          <w:szCs w:val="24"/>
        </w:rPr>
        <w:t>In 2017, a Missouri legislator—R</w:t>
      </w:r>
      <w:r w:rsidR="00202504">
        <w:rPr>
          <w:sz w:val="24"/>
          <w:szCs w:val="24"/>
        </w:rPr>
        <w:t xml:space="preserve">on Richard, a Joplin Republican, </w:t>
      </w:r>
      <w:r w:rsidR="003E158D">
        <w:rPr>
          <w:sz w:val="24"/>
          <w:szCs w:val="24"/>
        </w:rPr>
        <w:t xml:space="preserve">presumably acting at </w:t>
      </w:r>
      <w:r w:rsidR="00F77DF6">
        <w:rPr>
          <w:sz w:val="24"/>
          <w:szCs w:val="24"/>
        </w:rPr>
        <w:t xml:space="preserve">the behest of </w:t>
      </w:r>
      <w:r w:rsidR="00EA2D0B">
        <w:rPr>
          <w:sz w:val="24"/>
          <w:szCs w:val="24"/>
        </w:rPr>
        <w:t>Humphreys</w:t>
      </w:r>
      <w:r w:rsidR="00F77DF6">
        <w:rPr>
          <w:rStyle w:val="FootnoteReference"/>
          <w:sz w:val="24"/>
          <w:szCs w:val="24"/>
        </w:rPr>
        <w:footnoteReference w:id="91"/>
      </w:r>
      <w:r w:rsidR="00202504">
        <w:rPr>
          <w:sz w:val="24"/>
          <w:szCs w:val="24"/>
        </w:rPr>
        <w:t>—</w:t>
      </w:r>
      <w:r w:rsidR="00D244AC">
        <w:rPr>
          <w:sz w:val="24"/>
          <w:szCs w:val="24"/>
        </w:rPr>
        <w:t xml:space="preserve">sponsored </w:t>
      </w:r>
      <w:r w:rsidR="00535987">
        <w:rPr>
          <w:sz w:val="24"/>
          <w:szCs w:val="24"/>
        </w:rPr>
        <w:t xml:space="preserve">provisions within </w:t>
      </w:r>
      <w:r w:rsidR="00D244AC">
        <w:rPr>
          <w:sz w:val="24"/>
          <w:szCs w:val="24"/>
        </w:rPr>
        <w:t>Senate Bill No. 5 (“SB5”)</w:t>
      </w:r>
      <w:r w:rsidR="00535987">
        <w:rPr>
          <w:sz w:val="24"/>
          <w:szCs w:val="24"/>
        </w:rPr>
        <w:t xml:space="preserve"> that would have drastically altered the M</w:t>
      </w:r>
      <w:r w:rsidR="001351E7">
        <w:rPr>
          <w:sz w:val="24"/>
          <w:szCs w:val="24"/>
        </w:rPr>
        <w:t>M</w:t>
      </w:r>
      <w:r w:rsidR="00535987">
        <w:rPr>
          <w:sz w:val="24"/>
          <w:szCs w:val="24"/>
        </w:rPr>
        <w:t>PA</w:t>
      </w:r>
      <w:r w:rsidR="00D244AC">
        <w:rPr>
          <w:sz w:val="24"/>
          <w:szCs w:val="24"/>
        </w:rPr>
        <w:t>.</w:t>
      </w:r>
      <w:r w:rsidR="00D244AC">
        <w:rPr>
          <w:rStyle w:val="FootnoteReference"/>
          <w:sz w:val="24"/>
          <w:szCs w:val="24"/>
        </w:rPr>
        <w:footnoteReference w:id="92"/>
      </w:r>
      <w:r w:rsidR="00F8120F">
        <w:rPr>
          <w:sz w:val="24"/>
          <w:szCs w:val="24"/>
        </w:rPr>
        <w:t xml:space="preserve"> Unsurprisingly</w:t>
      </w:r>
      <w:r w:rsidR="000F6C26">
        <w:rPr>
          <w:sz w:val="24"/>
          <w:szCs w:val="24"/>
        </w:rPr>
        <w:t xml:space="preserve">, </w:t>
      </w:r>
      <w:r w:rsidR="00E5544A">
        <w:rPr>
          <w:sz w:val="24"/>
          <w:szCs w:val="24"/>
        </w:rPr>
        <w:t xml:space="preserve">SB5 </w:t>
      </w:r>
      <w:r w:rsidR="00DE7561">
        <w:rPr>
          <w:sz w:val="24"/>
          <w:szCs w:val="24"/>
        </w:rPr>
        <w:t>attempted to gut</w:t>
      </w:r>
      <w:r w:rsidR="00A2486B">
        <w:rPr>
          <w:sz w:val="24"/>
          <w:szCs w:val="24"/>
        </w:rPr>
        <w:t xml:space="preserve"> the M</w:t>
      </w:r>
      <w:r w:rsidR="001351E7">
        <w:rPr>
          <w:sz w:val="24"/>
          <w:szCs w:val="24"/>
        </w:rPr>
        <w:t>M</w:t>
      </w:r>
      <w:r w:rsidR="00A2486B">
        <w:rPr>
          <w:sz w:val="24"/>
          <w:szCs w:val="24"/>
        </w:rPr>
        <w:t>PA rather than reform it in a rational, tailored manner.</w:t>
      </w:r>
      <w:r w:rsidR="00682F09">
        <w:rPr>
          <w:rStyle w:val="FootnoteReference"/>
          <w:sz w:val="24"/>
          <w:szCs w:val="24"/>
        </w:rPr>
        <w:footnoteReference w:id="93"/>
      </w:r>
      <w:r w:rsidR="00F8120F">
        <w:rPr>
          <w:sz w:val="24"/>
          <w:szCs w:val="24"/>
        </w:rPr>
        <w:t xml:space="preserve"> This is unsurprising </w:t>
      </w:r>
      <w:r w:rsidR="00A81249">
        <w:rPr>
          <w:sz w:val="24"/>
          <w:szCs w:val="24"/>
        </w:rPr>
        <w:t>given that its sponsorship appeared to be retaliatory in nature rather than based upon rational investigation and discourse.</w:t>
      </w:r>
      <w:r w:rsidR="00A81249">
        <w:rPr>
          <w:rStyle w:val="FootnoteReference"/>
          <w:sz w:val="24"/>
          <w:szCs w:val="24"/>
        </w:rPr>
        <w:footnoteReference w:id="94"/>
      </w:r>
      <w:r w:rsidR="007D59A3">
        <w:rPr>
          <w:sz w:val="24"/>
          <w:szCs w:val="24"/>
        </w:rPr>
        <w:t xml:space="preserve"> </w:t>
      </w:r>
    </w:p>
    <w:p w:rsidR="00BD6B2E" w:rsidRDefault="00D5171E" w:rsidP="002F501C">
      <w:pPr>
        <w:widowControl w:val="0"/>
        <w:spacing w:line="360" w:lineRule="auto"/>
        <w:rPr>
          <w:sz w:val="24"/>
          <w:szCs w:val="24"/>
        </w:rPr>
      </w:pPr>
      <w:r>
        <w:rPr>
          <w:sz w:val="24"/>
          <w:szCs w:val="24"/>
        </w:rPr>
        <w:tab/>
        <w:t xml:space="preserve">Crucially, SB5 attempted to completely revise § 407.25 and add </w:t>
      </w:r>
      <w:r>
        <w:rPr>
          <w:i/>
          <w:sz w:val="24"/>
          <w:szCs w:val="24"/>
        </w:rPr>
        <w:t>extremely</w:t>
      </w:r>
      <w:r>
        <w:rPr>
          <w:sz w:val="24"/>
          <w:szCs w:val="24"/>
        </w:rPr>
        <w:t xml:space="preserve"> limiting </w:t>
      </w:r>
      <w:r>
        <w:rPr>
          <w:sz w:val="24"/>
          <w:szCs w:val="24"/>
        </w:rPr>
        <w:lastRenderedPageBreak/>
        <w:t>language that would have placed crushing, undue burdens of proof upon consumer plaintiffs.</w:t>
      </w:r>
      <w:r>
        <w:rPr>
          <w:rStyle w:val="FootnoteReference"/>
          <w:sz w:val="24"/>
          <w:szCs w:val="24"/>
        </w:rPr>
        <w:footnoteReference w:id="95"/>
      </w:r>
      <w:r w:rsidR="001D45E9">
        <w:rPr>
          <w:sz w:val="24"/>
          <w:szCs w:val="24"/>
        </w:rPr>
        <w:t xml:space="preserve"> It would have also repealed the possibility of punitive damages,</w:t>
      </w:r>
      <w:r w:rsidR="00182ADE">
        <w:rPr>
          <w:rStyle w:val="FootnoteReference"/>
          <w:sz w:val="24"/>
          <w:szCs w:val="24"/>
        </w:rPr>
        <w:footnoteReference w:id="96"/>
      </w:r>
      <w:r w:rsidR="001D45E9">
        <w:rPr>
          <w:sz w:val="24"/>
          <w:szCs w:val="24"/>
        </w:rPr>
        <w:t xml:space="preserve"> </w:t>
      </w:r>
      <w:r w:rsidR="001D45E9" w:rsidRPr="00182ADE">
        <w:rPr>
          <w:b/>
          <w:i/>
          <w:sz w:val="24"/>
          <w:szCs w:val="24"/>
        </w:rPr>
        <w:t>completely deferred to the policies of the Federal Trade Commission</w:t>
      </w:r>
      <w:r w:rsidR="00182ADE">
        <w:rPr>
          <w:sz w:val="24"/>
          <w:szCs w:val="24"/>
        </w:rPr>
        <w:t>,</w:t>
      </w:r>
      <w:r w:rsidR="00182ADE">
        <w:rPr>
          <w:rStyle w:val="FootnoteReference"/>
          <w:sz w:val="24"/>
          <w:szCs w:val="24"/>
        </w:rPr>
        <w:footnoteReference w:id="97"/>
      </w:r>
      <w:r w:rsidR="00182ADE">
        <w:rPr>
          <w:sz w:val="24"/>
          <w:szCs w:val="24"/>
        </w:rPr>
        <w:t xml:space="preserve"> and made requirements for class certification more onerous.</w:t>
      </w:r>
      <w:r w:rsidR="00182ADE">
        <w:rPr>
          <w:rStyle w:val="FootnoteReference"/>
          <w:sz w:val="24"/>
          <w:szCs w:val="24"/>
        </w:rPr>
        <w:footnoteReference w:id="98"/>
      </w:r>
      <w:r w:rsidR="00737AB6">
        <w:rPr>
          <w:sz w:val="24"/>
          <w:szCs w:val="24"/>
        </w:rPr>
        <w:t xml:space="preserve"> </w:t>
      </w:r>
      <w:r w:rsidR="00535987">
        <w:rPr>
          <w:sz w:val="24"/>
          <w:szCs w:val="24"/>
        </w:rPr>
        <w:t>Gratefully, certain Missouri legislators—a Republican and a Democrat—sniffed out the pay-to-play motivation behind the M</w:t>
      </w:r>
      <w:r w:rsidR="00873997">
        <w:rPr>
          <w:sz w:val="24"/>
          <w:szCs w:val="24"/>
        </w:rPr>
        <w:t>M</w:t>
      </w:r>
      <w:r w:rsidR="00535987">
        <w:rPr>
          <w:sz w:val="24"/>
          <w:szCs w:val="24"/>
        </w:rPr>
        <w:t>PA evisceration contained in SB5,</w:t>
      </w:r>
      <w:r w:rsidR="00535987">
        <w:rPr>
          <w:rStyle w:val="FootnoteReference"/>
          <w:sz w:val="24"/>
          <w:szCs w:val="24"/>
        </w:rPr>
        <w:footnoteReference w:id="99"/>
      </w:r>
      <w:r w:rsidR="00535987">
        <w:rPr>
          <w:sz w:val="24"/>
          <w:szCs w:val="24"/>
        </w:rPr>
        <w:t xml:space="preserve"> which helped kill it.</w:t>
      </w:r>
      <w:r w:rsidR="00535987">
        <w:rPr>
          <w:rStyle w:val="FootnoteReference"/>
          <w:sz w:val="24"/>
          <w:szCs w:val="24"/>
        </w:rPr>
        <w:footnoteReference w:id="100"/>
      </w:r>
      <w:r w:rsidR="00535987">
        <w:rPr>
          <w:sz w:val="24"/>
          <w:szCs w:val="24"/>
        </w:rPr>
        <w:t xml:space="preserve"> </w:t>
      </w:r>
      <w:r w:rsidR="00737AB6">
        <w:rPr>
          <w:sz w:val="24"/>
          <w:szCs w:val="24"/>
        </w:rPr>
        <w:t xml:space="preserve">However, because of </w:t>
      </w:r>
      <w:r w:rsidR="00A81622">
        <w:rPr>
          <w:sz w:val="24"/>
          <w:szCs w:val="24"/>
        </w:rPr>
        <w:t>lobbying by organizations like the ATRA and conservative businesspeople and donors, the specter of continued attacks on the M</w:t>
      </w:r>
      <w:r w:rsidR="001351E7">
        <w:rPr>
          <w:sz w:val="24"/>
          <w:szCs w:val="24"/>
        </w:rPr>
        <w:t>M</w:t>
      </w:r>
      <w:r w:rsidR="00A81622">
        <w:rPr>
          <w:sz w:val="24"/>
          <w:szCs w:val="24"/>
        </w:rPr>
        <w:t xml:space="preserve">PA remains very much alive. </w:t>
      </w:r>
    </w:p>
    <w:p w:rsidR="00566673" w:rsidRPr="005D0028" w:rsidRDefault="00E64128" w:rsidP="00DC7C0E">
      <w:pPr>
        <w:spacing w:line="360" w:lineRule="auto"/>
        <w:jc w:val="center"/>
        <w:rPr>
          <w:b/>
          <w:bCs/>
          <w:sz w:val="24"/>
          <w:szCs w:val="24"/>
          <w:u w:val="single"/>
        </w:rPr>
      </w:pPr>
      <w:r>
        <w:rPr>
          <w:b/>
          <w:bCs/>
          <w:sz w:val="24"/>
          <w:szCs w:val="24"/>
          <w:u w:val="single"/>
        </w:rPr>
        <w:t>Missouri Senate Bill No.</w:t>
      </w:r>
      <w:r w:rsidR="00BD6B2E" w:rsidRPr="00BD6B2E">
        <w:rPr>
          <w:b/>
          <w:bCs/>
          <w:sz w:val="24"/>
          <w:szCs w:val="24"/>
          <w:u w:val="single"/>
        </w:rPr>
        <w:t xml:space="preserve"> 591</w:t>
      </w:r>
      <w:r w:rsidR="00B541E9">
        <w:rPr>
          <w:b/>
          <w:bCs/>
          <w:sz w:val="24"/>
          <w:szCs w:val="24"/>
          <w:u w:val="single"/>
        </w:rPr>
        <w:t>,</w:t>
      </w:r>
      <w:r w:rsidR="00B541E9" w:rsidRPr="00B541E9">
        <w:rPr>
          <w:b/>
          <w:bCs/>
          <w:sz w:val="24"/>
          <w:szCs w:val="24"/>
          <w:u w:val="single"/>
        </w:rPr>
        <w:t xml:space="preserve"> </w:t>
      </w:r>
      <w:r w:rsidR="00B541E9" w:rsidRPr="00BD6B2E">
        <w:rPr>
          <w:b/>
          <w:bCs/>
          <w:sz w:val="24"/>
          <w:szCs w:val="24"/>
          <w:u w:val="single"/>
        </w:rPr>
        <w:t xml:space="preserve">ATRA, </w:t>
      </w:r>
      <w:r w:rsidR="00B541E9">
        <w:rPr>
          <w:b/>
          <w:bCs/>
          <w:sz w:val="24"/>
          <w:szCs w:val="24"/>
          <w:u w:val="single"/>
        </w:rPr>
        <w:t xml:space="preserve"> and </w:t>
      </w:r>
      <w:r w:rsidR="00B541E9" w:rsidRPr="00BD6B2E">
        <w:rPr>
          <w:b/>
          <w:bCs/>
          <w:sz w:val="24"/>
          <w:szCs w:val="24"/>
          <w:u w:val="single"/>
        </w:rPr>
        <w:t xml:space="preserve">the Perryman </w:t>
      </w:r>
      <w:r w:rsidR="00B541E9">
        <w:rPr>
          <w:b/>
          <w:bCs/>
          <w:sz w:val="24"/>
          <w:szCs w:val="24"/>
          <w:u w:val="single"/>
        </w:rPr>
        <w:t>Report</w:t>
      </w:r>
    </w:p>
    <w:p w:rsidR="00E71E5F" w:rsidRDefault="005D0028" w:rsidP="00A83D60">
      <w:pPr>
        <w:spacing w:line="360" w:lineRule="auto"/>
        <w:rPr>
          <w:sz w:val="24"/>
          <w:szCs w:val="24"/>
        </w:rPr>
      </w:pPr>
      <w:r>
        <w:rPr>
          <w:sz w:val="24"/>
          <w:szCs w:val="24"/>
        </w:rPr>
        <w:tab/>
      </w:r>
      <w:r w:rsidR="00BD6B2E">
        <w:rPr>
          <w:sz w:val="24"/>
          <w:szCs w:val="24"/>
        </w:rPr>
        <w:t xml:space="preserve">Like clockwork, </w:t>
      </w:r>
      <w:r>
        <w:rPr>
          <w:sz w:val="24"/>
          <w:szCs w:val="24"/>
        </w:rPr>
        <w:t>another big</w:t>
      </w:r>
      <w:r w:rsidR="00826F44">
        <w:rPr>
          <w:sz w:val="24"/>
          <w:szCs w:val="24"/>
        </w:rPr>
        <w:t>-</w:t>
      </w:r>
      <w:r>
        <w:rPr>
          <w:sz w:val="24"/>
          <w:szCs w:val="24"/>
        </w:rPr>
        <w:t xml:space="preserve">business-friendly </w:t>
      </w:r>
      <w:r w:rsidR="001351E7">
        <w:rPr>
          <w:sz w:val="24"/>
          <w:szCs w:val="24"/>
        </w:rPr>
        <w:t xml:space="preserve">tort reform effort has, furtively, emerged in Missouri: Senate Bill </w:t>
      </w:r>
      <w:r w:rsidR="00E64128">
        <w:rPr>
          <w:sz w:val="24"/>
          <w:szCs w:val="24"/>
        </w:rPr>
        <w:t xml:space="preserve">No. </w:t>
      </w:r>
      <w:r w:rsidR="001351E7">
        <w:rPr>
          <w:sz w:val="24"/>
          <w:szCs w:val="24"/>
        </w:rPr>
        <w:t>591</w:t>
      </w:r>
      <w:r w:rsidR="00432E83">
        <w:rPr>
          <w:sz w:val="24"/>
          <w:szCs w:val="24"/>
        </w:rPr>
        <w:t xml:space="preserve"> </w:t>
      </w:r>
      <w:r w:rsidR="001351E7">
        <w:rPr>
          <w:sz w:val="24"/>
          <w:szCs w:val="24"/>
        </w:rPr>
        <w:t>(“SB 591”).</w:t>
      </w:r>
      <w:r w:rsidR="001C321E">
        <w:rPr>
          <w:rStyle w:val="FootnoteReference"/>
          <w:sz w:val="24"/>
          <w:szCs w:val="24"/>
        </w:rPr>
        <w:footnoteReference w:id="101"/>
      </w:r>
      <w:r w:rsidR="00432E83">
        <w:rPr>
          <w:sz w:val="24"/>
          <w:szCs w:val="24"/>
        </w:rPr>
        <w:t xml:space="preserve"> Again, it is a Joplin Republican sponsoring the bill—in this case, Bill White. </w:t>
      </w:r>
      <w:r w:rsidR="004720E1">
        <w:rPr>
          <w:sz w:val="24"/>
          <w:szCs w:val="24"/>
        </w:rPr>
        <w:t>The evident primary target of SB 591 appears to be punitive damages</w:t>
      </w:r>
      <w:r w:rsidR="000669C7">
        <w:rPr>
          <w:sz w:val="24"/>
          <w:szCs w:val="24"/>
        </w:rPr>
        <w:t>, although it</w:t>
      </w:r>
      <w:r w:rsidR="004720E1">
        <w:rPr>
          <w:sz w:val="24"/>
          <w:szCs w:val="24"/>
        </w:rPr>
        <w:t xml:space="preserve"> also targets the MMPA</w:t>
      </w:r>
      <w:r w:rsidR="000669C7">
        <w:rPr>
          <w:sz w:val="24"/>
          <w:szCs w:val="24"/>
        </w:rPr>
        <w:t xml:space="preserve">. </w:t>
      </w:r>
    </w:p>
    <w:p w:rsidR="00145D51" w:rsidRDefault="00714FED" w:rsidP="00A2388E">
      <w:pPr>
        <w:widowControl w:val="0"/>
        <w:spacing w:line="360" w:lineRule="auto"/>
        <w:rPr>
          <w:sz w:val="24"/>
          <w:szCs w:val="24"/>
        </w:rPr>
      </w:pPr>
      <w:r>
        <w:rPr>
          <w:sz w:val="24"/>
          <w:szCs w:val="24"/>
        </w:rPr>
        <w:tab/>
        <w:t xml:space="preserve">With regard to punitive damages, </w:t>
      </w:r>
      <w:r w:rsidR="00BB4B92">
        <w:rPr>
          <w:sz w:val="24"/>
          <w:szCs w:val="24"/>
        </w:rPr>
        <w:t xml:space="preserve">SB 591 wishes to turn back the clock and require establishment of </w:t>
      </w:r>
      <w:r w:rsidR="00BB4B92">
        <w:rPr>
          <w:i/>
          <w:iCs/>
          <w:sz w:val="24"/>
          <w:szCs w:val="24"/>
        </w:rPr>
        <w:t>intent</w:t>
      </w:r>
      <w:r w:rsidR="00BB4B92">
        <w:rPr>
          <w:sz w:val="24"/>
          <w:szCs w:val="24"/>
        </w:rPr>
        <w:t xml:space="preserve"> </w:t>
      </w:r>
      <w:r w:rsidR="00D464CE">
        <w:rPr>
          <w:sz w:val="24"/>
          <w:szCs w:val="24"/>
        </w:rPr>
        <w:t>before punitive damages may be awarded—t</w:t>
      </w:r>
      <w:r w:rsidR="00D464CE" w:rsidRPr="00D464CE">
        <w:rPr>
          <w:b/>
          <w:bCs/>
          <w:sz w:val="24"/>
          <w:szCs w:val="24"/>
          <w:u w:val="single"/>
        </w:rPr>
        <w:t>his simply encourages bad actors to cultivate plausible deniability</w:t>
      </w:r>
      <w:r w:rsidR="00D464CE">
        <w:rPr>
          <w:sz w:val="24"/>
          <w:szCs w:val="24"/>
        </w:rPr>
        <w:t>.</w:t>
      </w:r>
      <w:r w:rsidR="00543914">
        <w:rPr>
          <w:sz w:val="24"/>
          <w:szCs w:val="24"/>
        </w:rPr>
        <w:t xml:space="preserve"> Under the current standard, punitive damages </w:t>
      </w:r>
      <w:r w:rsidR="00543914" w:rsidRPr="00543914">
        <w:rPr>
          <w:i/>
          <w:iCs/>
          <w:sz w:val="24"/>
          <w:szCs w:val="24"/>
        </w:rPr>
        <w:t>may</w:t>
      </w:r>
      <w:r w:rsidR="00543914">
        <w:rPr>
          <w:sz w:val="24"/>
          <w:szCs w:val="24"/>
        </w:rPr>
        <w:t xml:space="preserve"> be awarded if “reckless indifference”—roughly equivalent to gross negligence—is established</w:t>
      </w:r>
      <w:r w:rsidR="005D3755">
        <w:rPr>
          <w:sz w:val="24"/>
          <w:szCs w:val="24"/>
        </w:rPr>
        <w:t xml:space="preserve"> with great certainty; this, in itself, is not an easy bar to meet. Nonetheless, the corporate-backed politicians who drafted SB 591</w:t>
      </w:r>
      <w:r w:rsidR="00C85276">
        <w:rPr>
          <w:sz w:val="24"/>
          <w:szCs w:val="24"/>
        </w:rPr>
        <w:t xml:space="preserve"> want Missouri citizens to, in effect, be required to uncover “smoking guns” in order to be granted punitive damages. Needless to say, such smoking guns </w:t>
      </w:r>
      <w:r w:rsidR="00C85276">
        <w:rPr>
          <w:sz w:val="24"/>
          <w:szCs w:val="24"/>
        </w:rPr>
        <w:lastRenderedPageBreak/>
        <w:t xml:space="preserve">evincing intent rarely exist. Rather, </w:t>
      </w:r>
      <w:r w:rsidR="002A1EB0">
        <w:rPr>
          <w:sz w:val="24"/>
          <w:szCs w:val="24"/>
        </w:rPr>
        <w:t xml:space="preserve">more common is a defendant who had </w:t>
      </w:r>
      <w:r w:rsidR="002A1EB0">
        <w:rPr>
          <w:i/>
          <w:iCs/>
          <w:sz w:val="24"/>
          <w:szCs w:val="24"/>
        </w:rPr>
        <w:t>reason to know</w:t>
      </w:r>
      <w:r w:rsidR="002A1EB0">
        <w:rPr>
          <w:sz w:val="24"/>
          <w:szCs w:val="24"/>
        </w:rPr>
        <w:t xml:space="preserve"> that a given action would harm a person and yet took that action anyway—of course, there is no recorded statement averring that the defendant </w:t>
      </w:r>
      <w:r w:rsidR="002A1EB0">
        <w:rPr>
          <w:i/>
          <w:iCs/>
          <w:sz w:val="24"/>
          <w:szCs w:val="24"/>
        </w:rPr>
        <w:t>intended</w:t>
      </w:r>
      <w:r w:rsidR="002A1EB0">
        <w:rPr>
          <w:sz w:val="24"/>
          <w:szCs w:val="24"/>
        </w:rPr>
        <w:t xml:space="preserve"> to harm the individual. </w:t>
      </w:r>
      <w:r w:rsidR="00127E89">
        <w:rPr>
          <w:sz w:val="24"/>
          <w:szCs w:val="24"/>
        </w:rPr>
        <w:t xml:space="preserve">Rather, even if it is clear that </w:t>
      </w:r>
      <w:r w:rsidR="00A2388E">
        <w:rPr>
          <w:sz w:val="24"/>
          <w:szCs w:val="24"/>
        </w:rPr>
        <w:t xml:space="preserve">the action was reckless, or perhaps even likely intentional, clear intent is an extremely high bar to meet and, again, facially </w:t>
      </w:r>
      <w:r w:rsidR="00A2388E" w:rsidRPr="00A2388E">
        <w:rPr>
          <w:b/>
          <w:bCs/>
          <w:sz w:val="24"/>
          <w:szCs w:val="24"/>
          <w:u w:val="single"/>
        </w:rPr>
        <w:t xml:space="preserve">allows bad actors to repeat harmful actions over and over as long as they are </w:t>
      </w:r>
      <w:r w:rsidR="00A2388E">
        <w:rPr>
          <w:b/>
          <w:bCs/>
          <w:sz w:val="24"/>
          <w:szCs w:val="24"/>
          <w:u w:val="single"/>
        </w:rPr>
        <w:t xml:space="preserve">deemed </w:t>
      </w:r>
      <w:r w:rsidR="00A2388E" w:rsidRPr="00A2388E">
        <w:rPr>
          <w:b/>
          <w:bCs/>
          <w:sz w:val="24"/>
          <w:szCs w:val="24"/>
          <w:u w:val="single"/>
        </w:rPr>
        <w:t>merely negligent, not intentional</w:t>
      </w:r>
      <w:r w:rsidR="00A2388E">
        <w:rPr>
          <w:sz w:val="24"/>
          <w:szCs w:val="24"/>
        </w:rPr>
        <w:t xml:space="preserve">. </w:t>
      </w:r>
    </w:p>
    <w:p w:rsidR="004720E1" w:rsidRDefault="00096AFE" w:rsidP="00854525">
      <w:pPr>
        <w:widowControl w:val="0"/>
        <w:spacing w:line="360" w:lineRule="auto"/>
        <w:rPr>
          <w:sz w:val="24"/>
          <w:szCs w:val="24"/>
        </w:rPr>
      </w:pPr>
      <w:r>
        <w:rPr>
          <w:sz w:val="24"/>
          <w:szCs w:val="24"/>
        </w:rPr>
        <w:tab/>
        <w:t xml:space="preserve">With regard to the MMPA, </w:t>
      </w:r>
      <w:r w:rsidR="009D04CA">
        <w:rPr>
          <w:sz w:val="24"/>
          <w:szCs w:val="24"/>
        </w:rPr>
        <w:t>SB 591 attempts to subtly gut the MMPA, often in a manner that would escape the eye of a layperson. For example, it adds language that would allow damages only for a plaintiff where the alleged unlawful conduct “would cause a reasonable person to enter into the transaction . . .”—</w:t>
      </w:r>
      <w:r w:rsidR="003C3E3C">
        <w:rPr>
          <w:sz w:val="24"/>
          <w:szCs w:val="24"/>
        </w:rPr>
        <w:t xml:space="preserve">this </w:t>
      </w:r>
      <w:r w:rsidR="009D04CA">
        <w:rPr>
          <w:sz w:val="24"/>
          <w:szCs w:val="24"/>
        </w:rPr>
        <w:t>appears to be</w:t>
      </w:r>
      <w:r w:rsidR="002F501C">
        <w:rPr>
          <w:sz w:val="24"/>
          <w:szCs w:val="24"/>
        </w:rPr>
        <w:t xml:space="preserve"> </w:t>
      </w:r>
      <w:r w:rsidR="009D04CA">
        <w:rPr>
          <w:sz w:val="24"/>
          <w:szCs w:val="24"/>
        </w:rPr>
        <w:t>“reliance” language that could make it extremely difficult for a plaintiff to collect damages even if they were undeniably wronged.</w:t>
      </w:r>
      <w:r w:rsidR="009B6100">
        <w:rPr>
          <w:sz w:val="24"/>
          <w:szCs w:val="24"/>
        </w:rPr>
        <w:t xml:space="preserve"> </w:t>
      </w:r>
      <w:r w:rsidR="00977F2C">
        <w:rPr>
          <w:sz w:val="24"/>
          <w:szCs w:val="24"/>
        </w:rPr>
        <w:t xml:space="preserve">As a hypothetical example: </w:t>
      </w:r>
      <w:r w:rsidR="003C3E3C">
        <w:rPr>
          <w:sz w:val="24"/>
          <w:szCs w:val="24"/>
        </w:rPr>
        <w:t>your Internet service provider charg</w:t>
      </w:r>
      <w:r w:rsidR="007724E1">
        <w:rPr>
          <w:sz w:val="24"/>
          <w:szCs w:val="24"/>
        </w:rPr>
        <w:t>e</w:t>
      </w:r>
      <w:r w:rsidR="009B6100">
        <w:rPr>
          <w:sz w:val="24"/>
          <w:szCs w:val="24"/>
        </w:rPr>
        <w:t>s</w:t>
      </w:r>
      <w:r w:rsidR="003C3E3C">
        <w:rPr>
          <w:sz w:val="24"/>
          <w:szCs w:val="24"/>
        </w:rPr>
        <w:t xml:space="preserve"> you a small monthly fee</w:t>
      </w:r>
      <w:r w:rsidR="00E65B12">
        <w:rPr>
          <w:sz w:val="24"/>
          <w:szCs w:val="24"/>
        </w:rPr>
        <w:t>—say, of $5—</w:t>
      </w:r>
      <w:r w:rsidR="003C3E3C">
        <w:rPr>
          <w:sz w:val="24"/>
          <w:szCs w:val="24"/>
        </w:rPr>
        <w:t xml:space="preserve">that </w:t>
      </w:r>
      <w:r w:rsidR="00E65B12">
        <w:rPr>
          <w:sz w:val="24"/>
          <w:szCs w:val="24"/>
        </w:rPr>
        <w:t xml:space="preserve">was not theretofore disclosed or agreed to; assuming you are a “reasonable person,” would the </w:t>
      </w:r>
      <w:r w:rsidR="007724E1">
        <w:rPr>
          <w:sz w:val="24"/>
          <w:szCs w:val="24"/>
        </w:rPr>
        <w:t>disclosure</w:t>
      </w:r>
      <w:r w:rsidR="00E65B12">
        <w:rPr>
          <w:sz w:val="24"/>
          <w:szCs w:val="24"/>
        </w:rPr>
        <w:t xml:space="preserve"> of such a small fee </w:t>
      </w:r>
      <w:r w:rsidR="007724E1">
        <w:rPr>
          <w:sz w:val="24"/>
          <w:szCs w:val="24"/>
        </w:rPr>
        <w:t xml:space="preserve">have </w:t>
      </w:r>
      <w:r w:rsidR="00E65B12">
        <w:rPr>
          <w:i/>
          <w:iCs/>
          <w:sz w:val="24"/>
          <w:szCs w:val="24"/>
        </w:rPr>
        <w:t>cause</w:t>
      </w:r>
      <w:r w:rsidR="007724E1">
        <w:rPr>
          <w:i/>
          <w:iCs/>
          <w:sz w:val="24"/>
          <w:szCs w:val="24"/>
        </w:rPr>
        <w:t>d</w:t>
      </w:r>
      <w:r w:rsidR="00E65B12">
        <w:rPr>
          <w:sz w:val="24"/>
          <w:szCs w:val="24"/>
        </w:rPr>
        <w:t xml:space="preserve"> you to purchase Internet service from one of, say, </w:t>
      </w:r>
      <w:r w:rsidR="009B6100">
        <w:rPr>
          <w:sz w:val="24"/>
          <w:szCs w:val="24"/>
        </w:rPr>
        <w:t>another of j</w:t>
      </w:r>
      <w:r w:rsidR="00E65B12">
        <w:rPr>
          <w:sz w:val="24"/>
          <w:szCs w:val="24"/>
        </w:rPr>
        <w:t xml:space="preserve">ust </w:t>
      </w:r>
      <w:r w:rsidR="007724E1">
        <w:rPr>
          <w:sz w:val="24"/>
          <w:szCs w:val="24"/>
        </w:rPr>
        <w:t>two other providers</w:t>
      </w:r>
      <w:r w:rsidR="00E65B12">
        <w:rPr>
          <w:sz w:val="24"/>
          <w:szCs w:val="24"/>
        </w:rPr>
        <w:t xml:space="preserve">? </w:t>
      </w:r>
      <w:r w:rsidR="007724E1">
        <w:rPr>
          <w:sz w:val="24"/>
          <w:szCs w:val="24"/>
        </w:rPr>
        <w:t>Who knows</w:t>
      </w:r>
      <w:r w:rsidR="009B6100">
        <w:rPr>
          <w:sz w:val="24"/>
          <w:szCs w:val="24"/>
        </w:rPr>
        <w:t xml:space="preserve">—what does it mean to “cause” one to enter a transaction? </w:t>
      </w:r>
      <w:r w:rsidR="005D2DFB">
        <w:rPr>
          <w:sz w:val="24"/>
          <w:szCs w:val="24"/>
        </w:rPr>
        <w:t xml:space="preserve">Under the revised MMPA, however, it may well be okay for that company </w:t>
      </w:r>
      <w:r w:rsidR="001D1F5D">
        <w:rPr>
          <w:sz w:val="24"/>
          <w:szCs w:val="24"/>
        </w:rPr>
        <w:t xml:space="preserve">to charge such a fee many times over and not be held accountable for such because a “reasonable person” may have still subscribed to the service. </w:t>
      </w:r>
      <w:r w:rsidR="009B6100">
        <w:rPr>
          <w:sz w:val="24"/>
          <w:szCs w:val="24"/>
        </w:rPr>
        <w:t xml:space="preserve">Likewise, it is, arguably, probable that such language would greatly constrain claims for </w:t>
      </w:r>
      <w:r w:rsidR="009B6100">
        <w:rPr>
          <w:i/>
          <w:iCs/>
          <w:sz w:val="24"/>
          <w:szCs w:val="24"/>
        </w:rPr>
        <w:t>material omissions</w:t>
      </w:r>
      <w:r w:rsidR="009B6100">
        <w:rPr>
          <w:sz w:val="24"/>
          <w:szCs w:val="24"/>
        </w:rPr>
        <w:t>—</w:t>
      </w:r>
      <w:r w:rsidR="00D67111">
        <w:rPr>
          <w:sz w:val="24"/>
          <w:szCs w:val="24"/>
        </w:rPr>
        <w:t>such as that failure to disclose a small monthly fee, or the failure of a</w:t>
      </w:r>
      <w:r w:rsidR="00F538C6">
        <w:rPr>
          <w:sz w:val="24"/>
          <w:szCs w:val="24"/>
        </w:rPr>
        <w:t xml:space="preserve"> landlord to disclose that a building’s HVAC system was so incredibly inefficient as to lead to markedly higher utility bills, </w:t>
      </w:r>
      <w:r w:rsidR="005761F2">
        <w:rPr>
          <w:sz w:val="24"/>
          <w:szCs w:val="24"/>
        </w:rPr>
        <w:t xml:space="preserve">or the failure of a car dealer to disclose that the “new” car you just purchased had actually sustained structural damage while being taken on a test drive—how can the conjectural “reasonable person” reliably prove that </w:t>
      </w:r>
      <w:r w:rsidR="005761F2">
        <w:rPr>
          <w:i/>
          <w:iCs/>
          <w:sz w:val="24"/>
          <w:szCs w:val="24"/>
        </w:rPr>
        <w:t>but for</w:t>
      </w:r>
      <w:r w:rsidR="005761F2">
        <w:rPr>
          <w:sz w:val="24"/>
          <w:szCs w:val="24"/>
        </w:rPr>
        <w:t xml:space="preserve"> the existence of the omission they would not have entered the transaction? </w:t>
      </w:r>
      <w:r w:rsidR="00854525" w:rsidRPr="00854525">
        <w:rPr>
          <w:b/>
          <w:bCs/>
          <w:sz w:val="24"/>
          <w:szCs w:val="24"/>
          <w:u w:val="single"/>
        </w:rPr>
        <w:t>Even further, a transaction-based definition facially absolves merchants from liability for post-transaction conduct—this is, put simply, terrible public policy</w:t>
      </w:r>
      <w:r w:rsidR="00854525">
        <w:rPr>
          <w:sz w:val="24"/>
          <w:szCs w:val="24"/>
        </w:rPr>
        <w:t xml:space="preserve">. </w:t>
      </w:r>
      <w:r w:rsidR="009B6100" w:rsidRPr="00D67111">
        <w:rPr>
          <w:b/>
          <w:bCs/>
          <w:sz w:val="24"/>
          <w:szCs w:val="24"/>
          <w:u w:val="single"/>
        </w:rPr>
        <w:t>Regardless, SB 591 overtly wishes to put the onus on consumers—those who typically possess less information than sellers—</w:t>
      </w:r>
      <w:r w:rsidR="00D67111" w:rsidRPr="00D67111">
        <w:rPr>
          <w:b/>
          <w:bCs/>
          <w:sz w:val="24"/>
          <w:szCs w:val="24"/>
          <w:u w:val="single"/>
        </w:rPr>
        <w:t>for the wrongdoing of merchants</w:t>
      </w:r>
      <w:r w:rsidR="00D67111">
        <w:rPr>
          <w:sz w:val="24"/>
          <w:szCs w:val="24"/>
        </w:rPr>
        <w:t>.</w:t>
      </w:r>
    </w:p>
    <w:p w:rsidR="00E71E5F" w:rsidRPr="00C301CE" w:rsidRDefault="00854525" w:rsidP="00A83D60">
      <w:pPr>
        <w:spacing w:line="360" w:lineRule="auto"/>
        <w:rPr>
          <w:sz w:val="24"/>
          <w:szCs w:val="24"/>
        </w:rPr>
      </w:pPr>
      <w:r>
        <w:rPr>
          <w:sz w:val="24"/>
          <w:szCs w:val="24"/>
        </w:rPr>
        <w:tab/>
      </w:r>
      <w:r w:rsidR="00E71E5F">
        <w:rPr>
          <w:sz w:val="24"/>
          <w:szCs w:val="24"/>
        </w:rPr>
        <w:t>ATRA, upon the passing</w:t>
      </w:r>
      <w:r w:rsidR="006B062B">
        <w:rPr>
          <w:sz w:val="24"/>
          <w:szCs w:val="24"/>
        </w:rPr>
        <w:t xml:space="preserve"> of SB 591, tweet</w:t>
      </w:r>
      <w:r w:rsidR="00601CB3">
        <w:rPr>
          <w:sz w:val="24"/>
          <w:szCs w:val="24"/>
        </w:rPr>
        <w:t>ed a citation to the dollar figures generated by the Perryman Report</w:t>
      </w:r>
      <w:r w:rsidR="001C321E">
        <w:rPr>
          <w:sz w:val="24"/>
          <w:szCs w:val="24"/>
        </w:rPr>
        <w:t xml:space="preserve">; these </w:t>
      </w:r>
      <w:r w:rsidR="00B4320A">
        <w:rPr>
          <w:sz w:val="24"/>
          <w:szCs w:val="24"/>
        </w:rPr>
        <w:t>unsubstantiated</w:t>
      </w:r>
      <w:r w:rsidR="001C321E">
        <w:rPr>
          <w:sz w:val="24"/>
          <w:szCs w:val="24"/>
        </w:rPr>
        <w:t xml:space="preserve"> findings were regurgitated by others</w:t>
      </w:r>
      <w:r w:rsidR="00C301CE">
        <w:rPr>
          <w:sz w:val="24"/>
          <w:szCs w:val="24"/>
        </w:rPr>
        <w:t>.</w:t>
      </w:r>
      <w:r w:rsidR="006B062B">
        <w:rPr>
          <w:sz w:val="24"/>
          <w:szCs w:val="24"/>
        </w:rPr>
        <w:t xml:space="preserve"> As will be discussed </w:t>
      </w:r>
      <w:r w:rsidR="008D095F">
        <w:rPr>
          <w:sz w:val="24"/>
          <w:szCs w:val="24"/>
        </w:rPr>
        <w:t xml:space="preserve">at length </w:t>
      </w:r>
      <w:r w:rsidR="006B062B">
        <w:rPr>
          <w:sz w:val="24"/>
          <w:szCs w:val="24"/>
        </w:rPr>
        <w:t xml:space="preserve">in </w:t>
      </w:r>
      <w:r w:rsidR="006B062B" w:rsidRPr="006B062B">
        <w:rPr>
          <w:b/>
          <w:bCs/>
          <w:sz w:val="24"/>
          <w:szCs w:val="24"/>
          <w:u w:val="single"/>
        </w:rPr>
        <w:t>Appendix A</w:t>
      </w:r>
      <w:r w:rsidR="006B062B">
        <w:rPr>
          <w:sz w:val="24"/>
          <w:szCs w:val="24"/>
        </w:rPr>
        <w:t xml:space="preserve">, </w:t>
      </w:r>
      <w:r w:rsidR="00601CB3">
        <w:rPr>
          <w:sz w:val="24"/>
          <w:szCs w:val="24"/>
        </w:rPr>
        <w:t xml:space="preserve">any legislator would be irresponsible in </w:t>
      </w:r>
      <w:r w:rsidR="00CC369D">
        <w:rPr>
          <w:sz w:val="24"/>
          <w:szCs w:val="24"/>
        </w:rPr>
        <w:t>relying</w:t>
      </w:r>
      <w:r w:rsidR="00601CB3">
        <w:rPr>
          <w:sz w:val="24"/>
          <w:szCs w:val="24"/>
        </w:rPr>
        <w:t xml:space="preserve"> upon the </w:t>
      </w:r>
      <w:r w:rsidR="00601CB3">
        <w:rPr>
          <w:sz w:val="24"/>
          <w:szCs w:val="24"/>
        </w:rPr>
        <w:lastRenderedPageBreak/>
        <w:t>Perryman Report</w:t>
      </w:r>
      <w:r w:rsidR="00071E40">
        <w:rPr>
          <w:sz w:val="24"/>
          <w:szCs w:val="24"/>
        </w:rPr>
        <w:t xml:space="preserve">, which </w:t>
      </w:r>
      <w:r w:rsidR="00C4364E">
        <w:rPr>
          <w:sz w:val="24"/>
          <w:szCs w:val="24"/>
        </w:rPr>
        <w:t>may</w:t>
      </w:r>
      <w:r w:rsidR="00071E40">
        <w:rPr>
          <w:sz w:val="24"/>
          <w:szCs w:val="24"/>
        </w:rPr>
        <w:t xml:space="preserve"> be making the rounds despite being wildly inadequate as any sort of serious policy instrument, let alone a robust economic analysis. </w:t>
      </w:r>
      <w:r w:rsidR="00C301CE">
        <w:rPr>
          <w:sz w:val="24"/>
          <w:szCs w:val="24"/>
        </w:rPr>
        <w:t xml:space="preserve">The mere fact that </w:t>
      </w:r>
      <w:r w:rsidR="00C301CE">
        <w:rPr>
          <w:i/>
          <w:iCs/>
          <w:sz w:val="24"/>
          <w:szCs w:val="24"/>
        </w:rPr>
        <w:t>someone</w:t>
      </w:r>
      <w:r w:rsidR="00C301CE">
        <w:rPr>
          <w:sz w:val="24"/>
          <w:szCs w:val="24"/>
        </w:rPr>
        <w:t xml:space="preserve"> </w:t>
      </w:r>
      <w:r w:rsidR="00C301CE" w:rsidRPr="00C301CE">
        <w:rPr>
          <w:i/>
          <w:iCs/>
          <w:sz w:val="24"/>
          <w:szCs w:val="24"/>
        </w:rPr>
        <w:t>paid for</w:t>
      </w:r>
      <w:r w:rsidR="00C301CE">
        <w:rPr>
          <w:sz w:val="24"/>
          <w:szCs w:val="24"/>
        </w:rPr>
        <w:t xml:space="preserve"> the Perryman Report is cause for concern and, given that the same report was effectively auto-generated for a number of other states, further demonstrates that the current attack on the MMPA is little more than part of a poorly concealed national campaign being waged from Washington, D.C. </w:t>
      </w:r>
    </w:p>
    <w:p w:rsidR="00E71E5F" w:rsidRDefault="00E71E5F" w:rsidP="00A83D60">
      <w:pPr>
        <w:spacing w:line="360" w:lineRule="auto"/>
        <w:rPr>
          <w:sz w:val="24"/>
          <w:szCs w:val="24"/>
        </w:rPr>
      </w:pPr>
    </w:p>
    <w:p w:rsidR="00E71E5F" w:rsidRDefault="00E71E5F" w:rsidP="00A83D60">
      <w:pPr>
        <w:spacing w:line="360" w:lineRule="auto"/>
        <w:rPr>
          <w:sz w:val="24"/>
          <w:szCs w:val="24"/>
        </w:rPr>
      </w:pPr>
    </w:p>
    <w:p w:rsidR="005514D7" w:rsidRDefault="005514D7" w:rsidP="00A83D60">
      <w:pPr>
        <w:spacing w:line="360" w:lineRule="auto"/>
        <w:rPr>
          <w:sz w:val="24"/>
          <w:szCs w:val="24"/>
        </w:rPr>
      </w:pPr>
    </w:p>
    <w:p w:rsidR="00BD6B2E" w:rsidRDefault="00A35380" w:rsidP="00A35380">
      <w:pPr>
        <w:rPr>
          <w:sz w:val="24"/>
          <w:szCs w:val="24"/>
        </w:rPr>
      </w:pPr>
      <w:r>
        <w:rPr>
          <w:sz w:val="24"/>
          <w:szCs w:val="24"/>
        </w:rPr>
        <w:br w:type="page"/>
      </w:r>
    </w:p>
    <w:p w:rsidR="001A074C" w:rsidRDefault="00045261" w:rsidP="001A074C">
      <w:pPr>
        <w:jc w:val="center"/>
        <w:rPr>
          <w:b/>
          <w:bCs/>
          <w:sz w:val="32"/>
          <w:szCs w:val="32"/>
          <w:u w:val="single"/>
        </w:rPr>
      </w:pPr>
      <w:r>
        <w:rPr>
          <w:b/>
          <w:bCs/>
          <w:sz w:val="32"/>
          <w:szCs w:val="32"/>
          <w:u w:val="single"/>
        </w:rPr>
        <w:lastRenderedPageBreak/>
        <w:t>Appendix A</w:t>
      </w:r>
      <w:r w:rsidR="00A35380" w:rsidRPr="00A35380">
        <w:rPr>
          <w:b/>
          <w:bCs/>
          <w:sz w:val="32"/>
          <w:szCs w:val="32"/>
          <w:u w:val="single"/>
        </w:rPr>
        <w:t xml:space="preserve">: </w:t>
      </w:r>
    </w:p>
    <w:p w:rsidR="00BD6B2E" w:rsidRDefault="001C5A25" w:rsidP="001A074C">
      <w:pPr>
        <w:jc w:val="center"/>
        <w:rPr>
          <w:b/>
          <w:bCs/>
          <w:sz w:val="32"/>
          <w:szCs w:val="32"/>
          <w:u w:val="single"/>
        </w:rPr>
      </w:pPr>
      <w:r w:rsidRPr="00A35380">
        <w:rPr>
          <w:b/>
          <w:bCs/>
          <w:sz w:val="32"/>
          <w:szCs w:val="32"/>
          <w:u w:val="single"/>
        </w:rPr>
        <w:t>The Perryman Report</w:t>
      </w:r>
    </w:p>
    <w:p w:rsidR="001A074C" w:rsidRPr="00A35380" w:rsidRDefault="001A074C" w:rsidP="001A074C">
      <w:pPr>
        <w:jc w:val="center"/>
        <w:rPr>
          <w:b/>
          <w:bCs/>
          <w:sz w:val="32"/>
          <w:szCs w:val="32"/>
          <w:u w:val="single"/>
        </w:rPr>
      </w:pPr>
    </w:p>
    <w:p w:rsidR="00863ABA" w:rsidRDefault="00BD6B2E" w:rsidP="00A83D60">
      <w:pPr>
        <w:spacing w:line="360" w:lineRule="auto"/>
        <w:rPr>
          <w:sz w:val="24"/>
          <w:szCs w:val="24"/>
        </w:rPr>
      </w:pPr>
      <w:r>
        <w:rPr>
          <w:sz w:val="24"/>
          <w:szCs w:val="24"/>
        </w:rPr>
        <w:tab/>
      </w:r>
      <w:r w:rsidR="006B062B">
        <w:rPr>
          <w:sz w:val="24"/>
          <w:szCs w:val="24"/>
        </w:rPr>
        <w:t xml:space="preserve">M. </w:t>
      </w:r>
      <w:r>
        <w:rPr>
          <w:sz w:val="24"/>
          <w:szCs w:val="24"/>
        </w:rPr>
        <w:t xml:space="preserve">Ray Perryman—a consultant who </w:t>
      </w:r>
      <w:r w:rsidR="00CC369D">
        <w:rPr>
          <w:sz w:val="24"/>
          <w:szCs w:val="24"/>
        </w:rPr>
        <w:t>produces reports</w:t>
      </w:r>
      <w:r>
        <w:rPr>
          <w:sz w:val="24"/>
          <w:szCs w:val="24"/>
        </w:rPr>
        <w:t xml:space="preserve"> under the guise of being an “academic”</w:t>
      </w:r>
      <w:r w:rsidR="0045377F">
        <w:rPr>
          <w:rStyle w:val="FootnoteReference"/>
          <w:sz w:val="24"/>
          <w:szCs w:val="24"/>
        </w:rPr>
        <w:footnoteReference w:id="102"/>
      </w:r>
      <w:r>
        <w:rPr>
          <w:sz w:val="24"/>
          <w:szCs w:val="24"/>
        </w:rPr>
        <w:t xml:space="preserve">—seems to be the most recent </w:t>
      </w:r>
      <w:r w:rsidR="006916F2">
        <w:rPr>
          <w:sz w:val="24"/>
          <w:szCs w:val="24"/>
        </w:rPr>
        <w:t xml:space="preserve">marginal </w:t>
      </w:r>
      <w:r w:rsidR="001A074C">
        <w:rPr>
          <w:sz w:val="24"/>
          <w:szCs w:val="24"/>
        </w:rPr>
        <w:t>“</w:t>
      </w:r>
      <w:r>
        <w:rPr>
          <w:sz w:val="24"/>
          <w:szCs w:val="24"/>
        </w:rPr>
        <w:t>expert</w:t>
      </w:r>
      <w:r w:rsidR="001A074C">
        <w:rPr>
          <w:sz w:val="24"/>
          <w:szCs w:val="24"/>
        </w:rPr>
        <w:t>”</w:t>
      </w:r>
      <w:r>
        <w:rPr>
          <w:sz w:val="24"/>
          <w:szCs w:val="24"/>
        </w:rPr>
        <w:t>-for-hire</w:t>
      </w:r>
      <w:r w:rsidR="00431307">
        <w:rPr>
          <w:rStyle w:val="FootnoteReference"/>
          <w:sz w:val="24"/>
          <w:szCs w:val="24"/>
        </w:rPr>
        <w:footnoteReference w:id="103"/>
      </w:r>
      <w:r w:rsidR="008652ED">
        <w:rPr>
          <w:sz w:val="24"/>
          <w:szCs w:val="24"/>
        </w:rPr>
        <w:t xml:space="preserve"> engaged by </w:t>
      </w:r>
      <w:r w:rsidR="004D1956">
        <w:rPr>
          <w:sz w:val="24"/>
          <w:szCs w:val="24"/>
        </w:rPr>
        <w:t>lobbyists</w:t>
      </w:r>
      <w:r w:rsidR="008652ED">
        <w:rPr>
          <w:sz w:val="24"/>
          <w:szCs w:val="24"/>
        </w:rPr>
        <w:t xml:space="preserve"> in </w:t>
      </w:r>
      <w:r w:rsidR="00CC369D">
        <w:rPr>
          <w:sz w:val="24"/>
          <w:szCs w:val="24"/>
        </w:rPr>
        <w:t>their current</w:t>
      </w:r>
      <w:r w:rsidR="008652ED">
        <w:rPr>
          <w:sz w:val="24"/>
          <w:szCs w:val="24"/>
        </w:rPr>
        <w:t xml:space="preserve"> campaign to roll back consumer protections. </w:t>
      </w:r>
      <w:r>
        <w:rPr>
          <w:sz w:val="24"/>
          <w:szCs w:val="24"/>
        </w:rPr>
        <w:t>Perryman</w:t>
      </w:r>
      <w:r w:rsidR="00381DC8">
        <w:rPr>
          <w:sz w:val="24"/>
          <w:szCs w:val="24"/>
        </w:rPr>
        <w:t>—</w:t>
      </w:r>
      <w:r>
        <w:rPr>
          <w:sz w:val="24"/>
          <w:szCs w:val="24"/>
        </w:rPr>
        <w:t>located in Waco, Texas</w:t>
      </w:r>
      <w:r w:rsidR="00381DC8">
        <w:rPr>
          <w:sz w:val="24"/>
          <w:szCs w:val="24"/>
        </w:rPr>
        <w:t>—</w:t>
      </w:r>
      <w:r w:rsidR="00002251">
        <w:rPr>
          <w:sz w:val="24"/>
          <w:szCs w:val="24"/>
        </w:rPr>
        <w:t xml:space="preserve">has apparently farmed out </w:t>
      </w:r>
      <w:r w:rsidR="00812042">
        <w:rPr>
          <w:sz w:val="24"/>
          <w:szCs w:val="24"/>
        </w:rPr>
        <w:t>copies of his reports, based on his own opaque</w:t>
      </w:r>
      <w:r w:rsidR="001A4036">
        <w:rPr>
          <w:sz w:val="24"/>
          <w:szCs w:val="24"/>
        </w:rPr>
        <w:t>, self-maintained</w:t>
      </w:r>
      <w:r w:rsidR="007268F4">
        <w:rPr>
          <w:sz w:val="24"/>
          <w:szCs w:val="24"/>
        </w:rPr>
        <w:t xml:space="preserve"> models, to various </w:t>
      </w:r>
      <w:r w:rsidR="00BF7ADC">
        <w:rPr>
          <w:sz w:val="24"/>
          <w:szCs w:val="24"/>
        </w:rPr>
        <w:t>“</w:t>
      </w:r>
      <w:r w:rsidR="007268F4">
        <w:rPr>
          <w:sz w:val="24"/>
          <w:szCs w:val="24"/>
        </w:rPr>
        <w:t>red</w:t>
      </w:r>
      <w:r w:rsidR="00BF7ADC">
        <w:rPr>
          <w:sz w:val="24"/>
          <w:szCs w:val="24"/>
        </w:rPr>
        <w:t xml:space="preserve">” </w:t>
      </w:r>
      <w:r w:rsidR="007268F4">
        <w:rPr>
          <w:sz w:val="24"/>
          <w:szCs w:val="24"/>
        </w:rPr>
        <w:t xml:space="preserve">states; these reports are essentially copy-and-pastes of one another. It takes only some ordinary </w:t>
      </w:r>
      <w:r w:rsidR="007B3FD1">
        <w:rPr>
          <w:sz w:val="24"/>
          <w:szCs w:val="24"/>
        </w:rPr>
        <w:t>Internet research to discover that Perryman is skilled primarily at self-promotion—he sells copies of his half-baked reports to, mostly, Texas interests and is no way a widely recognized economist</w:t>
      </w:r>
      <w:r w:rsidR="001B1B7D">
        <w:rPr>
          <w:sz w:val="24"/>
          <w:szCs w:val="24"/>
        </w:rPr>
        <w:t>—at least not in the ordinary, complimentary sense</w:t>
      </w:r>
      <w:r w:rsidR="007B3FD1">
        <w:rPr>
          <w:sz w:val="24"/>
          <w:szCs w:val="24"/>
        </w:rPr>
        <w:t xml:space="preserve">. Indeed, essentially every quote about him is recycled from . . . Perryman himself. </w:t>
      </w:r>
      <w:r w:rsidR="00194D58">
        <w:rPr>
          <w:sz w:val="24"/>
          <w:szCs w:val="24"/>
        </w:rPr>
        <w:t xml:space="preserve">This particular analysis is of Perryman’s </w:t>
      </w:r>
      <w:r w:rsidR="007B3FD1">
        <w:rPr>
          <w:sz w:val="24"/>
          <w:szCs w:val="24"/>
        </w:rPr>
        <w:t xml:space="preserve">report, </w:t>
      </w:r>
      <w:r w:rsidR="007B3FD1">
        <w:rPr>
          <w:i/>
          <w:iCs/>
          <w:sz w:val="24"/>
          <w:szCs w:val="24"/>
        </w:rPr>
        <w:t>Economic Benefits of Tort Reform: An Assessment of Excessive Tort Costs in Missouri and Potential</w:t>
      </w:r>
      <w:r w:rsidR="00E42B83">
        <w:rPr>
          <w:i/>
          <w:iCs/>
          <w:sz w:val="24"/>
          <w:szCs w:val="24"/>
        </w:rPr>
        <w:t xml:space="preserve"> Economic Benefits of Reform</w:t>
      </w:r>
      <w:bookmarkStart w:id="0" w:name="_GoBack"/>
      <w:bookmarkEnd w:id="0"/>
      <w:r w:rsidR="00751D66">
        <w:rPr>
          <w:i/>
          <w:iCs/>
          <w:sz w:val="24"/>
          <w:szCs w:val="24"/>
        </w:rPr>
        <w:t xml:space="preserve"> </w:t>
      </w:r>
      <w:r w:rsidR="00751D66">
        <w:rPr>
          <w:sz w:val="24"/>
          <w:szCs w:val="24"/>
        </w:rPr>
        <w:t>(“Perryman Report”)</w:t>
      </w:r>
      <w:r w:rsidR="007B3FD1">
        <w:rPr>
          <w:sz w:val="24"/>
          <w:szCs w:val="24"/>
        </w:rPr>
        <w:t>,</w:t>
      </w:r>
      <w:r w:rsidR="005B5BBB">
        <w:rPr>
          <w:rStyle w:val="FootnoteReference"/>
          <w:sz w:val="24"/>
          <w:szCs w:val="24"/>
        </w:rPr>
        <w:footnoteReference w:id="104"/>
      </w:r>
      <w:r w:rsidR="007B3FD1">
        <w:rPr>
          <w:sz w:val="24"/>
          <w:szCs w:val="24"/>
        </w:rPr>
        <w:t xml:space="preserve"> although it appears, facially at least, that it may as well be a critique of all Perryman’s reports. </w:t>
      </w:r>
      <w:r w:rsidR="00751D66">
        <w:rPr>
          <w:sz w:val="24"/>
          <w:szCs w:val="24"/>
        </w:rPr>
        <w:t xml:space="preserve">The </w:t>
      </w:r>
      <w:r w:rsidR="00045261">
        <w:rPr>
          <w:sz w:val="24"/>
          <w:szCs w:val="24"/>
        </w:rPr>
        <w:t>Perryman</w:t>
      </w:r>
      <w:r w:rsidR="00751D66">
        <w:rPr>
          <w:sz w:val="24"/>
          <w:szCs w:val="24"/>
        </w:rPr>
        <w:t xml:space="preserve"> R</w:t>
      </w:r>
      <w:r w:rsidR="00045261">
        <w:rPr>
          <w:sz w:val="24"/>
          <w:szCs w:val="24"/>
        </w:rPr>
        <w:t xml:space="preserve">eport </w:t>
      </w:r>
      <w:r w:rsidR="00A35380" w:rsidRPr="001C46DB">
        <w:rPr>
          <w:b/>
          <w:bCs/>
          <w:sz w:val="24"/>
          <w:szCs w:val="24"/>
          <w:u w:val="single"/>
        </w:rPr>
        <w:t>is so shoddy</w:t>
      </w:r>
      <w:r w:rsidR="00ED0A8C" w:rsidRPr="001C46DB">
        <w:rPr>
          <w:b/>
          <w:bCs/>
          <w:sz w:val="24"/>
          <w:szCs w:val="24"/>
          <w:u w:val="single"/>
        </w:rPr>
        <w:t xml:space="preserve">, </w:t>
      </w:r>
      <w:r w:rsidR="00A35380" w:rsidRPr="001C46DB">
        <w:rPr>
          <w:b/>
          <w:bCs/>
          <w:sz w:val="24"/>
          <w:szCs w:val="24"/>
          <w:u w:val="single"/>
        </w:rPr>
        <w:t>misleading</w:t>
      </w:r>
      <w:r w:rsidR="00ED0A8C" w:rsidRPr="001C46DB">
        <w:rPr>
          <w:b/>
          <w:bCs/>
          <w:sz w:val="24"/>
          <w:szCs w:val="24"/>
          <w:u w:val="single"/>
        </w:rPr>
        <w:t>, and irresponsible</w:t>
      </w:r>
      <w:r w:rsidR="00A35380" w:rsidRPr="001C46DB">
        <w:rPr>
          <w:b/>
          <w:bCs/>
          <w:sz w:val="24"/>
          <w:szCs w:val="24"/>
          <w:u w:val="single"/>
        </w:rPr>
        <w:t xml:space="preserve"> as to require its own </w:t>
      </w:r>
      <w:r w:rsidR="00ED0A8C" w:rsidRPr="001C46DB">
        <w:rPr>
          <w:b/>
          <w:bCs/>
          <w:sz w:val="24"/>
          <w:szCs w:val="24"/>
          <w:u w:val="single"/>
        </w:rPr>
        <w:t>explanation here</w:t>
      </w:r>
      <w:r w:rsidR="00ED0A8C">
        <w:rPr>
          <w:sz w:val="24"/>
          <w:szCs w:val="24"/>
        </w:rPr>
        <w:t>.</w:t>
      </w:r>
      <w:r w:rsidR="001C46DB">
        <w:rPr>
          <w:sz w:val="24"/>
          <w:szCs w:val="24"/>
        </w:rPr>
        <w:t xml:space="preserve"> </w:t>
      </w:r>
      <w:r w:rsidR="00F43183">
        <w:rPr>
          <w:sz w:val="24"/>
          <w:szCs w:val="24"/>
        </w:rPr>
        <w:t>For example:</w:t>
      </w:r>
    </w:p>
    <w:p w:rsidR="00920A15" w:rsidRDefault="00920A15" w:rsidP="00A83D60">
      <w:pPr>
        <w:spacing w:line="360" w:lineRule="auto"/>
        <w:rPr>
          <w:sz w:val="24"/>
          <w:szCs w:val="24"/>
        </w:rPr>
      </w:pPr>
    </w:p>
    <w:p w:rsidR="00B4469A" w:rsidRPr="00B4469A" w:rsidRDefault="005B5BBB" w:rsidP="00B4469A">
      <w:pPr>
        <w:pStyle w:val="ListParagraph"/>
        <w:numPr>
          <w:ilvl w:val="0"/>
          <w:numId w:val="4"/>
        </w:numPr>
        <w:rPr>
          <w:sz w:val="24"/>
          <w:szCs w:val="24"/>
        </w:rPr>
      </w:pPr>
      <w:r>
        <w:rPr>
          <w:sz w:val="24"/>
          <w:szCs w:val="24"/>
        </w:rPr>
        <w:t xml:space="preserve">Essentially every important conclusion in the </w:t>
      </w:r>
      <w:r w:rsidR="00751D66">
        <w:rPr>
          <w:sz w:val="24"/>
          <w:szCs w:val="24"/>
        </w:rPr>
        <w:t>R</w:t>
      </w:r>
      <w:r>
        <w:rPr>
          <w:sz w:val="24"/>
          <w:szCs w:val="24"/>
        </w:rPr>
        <w:t xml:space="preserve">eport stems from Perryman himself—i.e., his “models” </w:t>
      </w:r>
      <w:r w:rsidR="00CC7C53">
        <w:rPr>
          <w:sz w:val="24"/>
          <w:szCs w:val="24"/>
        </w:rPr>
        <w:t>were built by him</w:t>
      </w:r>
      <w:r>
        <w:rPr>
          <w:sz w:val="24"/>
          <w:szCs w:val="24"/>
        </w:rPr>
        <w:t xml:space="preserve"> and</w:t>
      </w:r>
      <w:r w:rsidR="00863ABA">
        <w:rPr>
          <w:sz w:val="24"/>
          <w:szCs w:val="24"/>
        </w:rPr>
        <w:t xml:space="preserve"> </w:t>
      </w:r>
      <w:r w:rsidR="00CC7C53">
        <w:rPr>
          <w:sz w:val="24"/>
          <w:szCs w:val="24"/>
        </w:rPr>
        <w:t xml:space="preserve">are </w:t>
      </w:r>
      <w:r w:rsidR="00863ABA">
        <w:rPr>
          <w:sz w:val="24"/>
          <w:szCs w:val="24"/>
        </w:rPr>
        <w:t xml:space="preserve">maintained by him and there is no evidence </w:t>
      </w:r>
      <w:r w:rsidR="00B4469A">
        <w:rPr>
          <w:sz w:val="24"/>
          <w:szCs w:val="24"/>
        </w:rPr>
        <w:t xml:space="preserve">that they have been seriously peer reviewed—ever. </w:t>
      </w:r>
    </w:p>
    <w:p w:rsidR="005B5BBB" w:rsidRDefault="005B5BBB" w:rsidP="005B5BBB">
      <w:pPr>
        <w:pStyle w:val="ListParagraph"/>
        <w:rPr>
          <w:sz w:val="24"/>
          <w:szCs w:val="24"/>
        </w:rPr>
      </w:pPr>
    </w:p>
    <w:p w:rsidR="00E71E5F" w:rsidRDefault="00766171" w:rsidP="00E71E5F">
      <w:pPr>
        <w:pStyle w:val="ListParagraph"/>
        <w:numPr>
          <w:ilvl w:val="0"/>
          <w:numId w:val="4"/>
        </w:numPr>
        <w:rPr>
          <w:sz w:val="24"/>
          <w:szCs w:val="24"/>
        </w:rPr>
      </w:pPr>
      <w:r>
        <w:rPr>
          <w:sz w:val="24"/>
          <w:szCs w:val="24"/>
        </w:rPr>
        <w:t>Multipliers</w:t>
      </w:r>
      <w:r w:rsidR="00F70AC8">
        <w:rPr>
          <w:sz w:val="24"/>
          <w:szCs w:val="24"/>
        </w:rPr>
        <w:t>—“knock-on effects,” e</w:t>
      </w:r>
      <w:r w:rsidR="00E71E5F">
        <w:rPr>
          <w:sz w:val="24"/>
          <w:szCs w:val="24"/>
        </w:rPr>
        <w:t>ffectively</w:t>
      </w:r>
      <w:r w:rsidR="00F70AC8">
        <w:rPr>
          <w:sz w:val="24"/>
          <w:szCs w:val="24"/>
        </w:rPr>
        <w:t>, in common parlance</w:t>
      </w:r>
      <w:r w:rsidR="00E71E5F">
        <w:rPr>
          <w:sz w:val="24"/>
          <w:szCs w:val="24"/>
        </w:rPr>
        <w:t xml:space="preserve">—are </w:t>
      </w:r>
      <w:r w:rsidR="005B5BBB">
        <w:rPr>
          <w:sz w:val="24"/>
          <w:szCs w:val="24"/>
        </w:rPr>
        <w:t>essential to framing the</w:t>
      </w:r>
      <w:r w:rsidR="00447FC7">
        <w:rPr>
          <w:sz w:val="24"/>
          <w:szCs w:val="24"/>
        </w:rPr>
        <w:t xml:space="preserve"> costs and benefits of </w:t>
      </w:r>
      <w:r w:rsidR="002D6A12">
        <w:rPr>
          <w:sz w:val="24"/>
          <w:szCs w:val="24"/>
        </w:rPr>
        <w:t xml:space="preserve">a structural economic changes, including, </w:t>
      </w:r>
      <w:r w:rsidR="002D6A12">
        <w:rPr>
          <w:i/>
          <w:iCs/>
          <w:sz w:val="24"/>
          <w:szCs w:val="24"/>
        </w:rPr>
        <w:t>to some extent</w:t>
      </w:r>
      <w:r w:rsidR="002D6A12">
        <w:rPr>
          <w:sz w:val="24"/>
          <w:szCs w:val="24"/>
        </w:rPr>
        <w:t xml:space="preserve">, </w:t>
      </w:r>
      <w:r w:rsidR="00084FD9">
        <w:rPr>
          <w:sz w:val="24"/>
          <w:szCs w:val="24"/>
        </w:rPr>
        <w:t>proposed tort reforms</w:t>
      </w:r>
      <w:r w:rsidR="003D0323">
        <w:rPr>
          <w:sz w:val="24"/>
          <w:szCs w:val="24"/>
        </w:rPr>
        <w:t xml:space="preserve"> . . .</w:t>
      </w:r>
    </w:p>
    <w:p w:rsidR="003D0323" w:rsidRDefault="003D0323" w:rsidP="003D0323">
      <w:pPr>
        <w:pStyle w:val="ListParagraph"/>
        <w:rPr>
          <w:sz w:val="24"/>
          <w:szCs w:val="24"/>
        </w:rPr>
      </w:pPr>
    </w:p>
    <w:p w:rsidR="003D0323" w:rsidRPr="003D0323" w:rsidRDefault="003D0323" w:rsidP="00751D66">
      <w:pPr>
        <w:pStyle w:val="ListParagraph"/>
        <w:widowControl w:val="0"/>
        <w:numPr>
          <w:ilvl w:val="0"/>
          <w:numId w:val="4"/>
        </w:numPr>
        <w:rPr>
          <w:sz w:val="24"/>
          <w:szCs w:val="24"/>
        </w:rPr>
      </w:pPr>
      <w:r>
        <w:rPr>
          <w:sz w:val="24"/>
          <w:szCs w:val="24"/>
        </w:rPr>
        <w:t>Perryman has utterly neglected to actually delineate his calculation of such critical measures</w:t>
      </w:r>
      <w:r w:rsidR="00751D66">
        <w:rPr>
          <w:sz w:val="24"/>
          <w:szCs w:val="24"/>
        </w:rPr>
        <w:t xml:space="preserve">; </w:t>
      </w:r>
      <w:r>
        <w:rPr>
          <w:sz w:val="24"/>
          <w:szCs w:val="24"/>
        </w:rPr>
        <w:t xml:space="preserve">rather, on page 13 Perryman provides a simple </w:t>
      </w:r>
      <w:r>
        <w:rPr>
          <w:i/>
          <w:iCs/>
          <w:sz w:val="24"/>
          <w:szCs w:val="24"/>
        </w:rPr>
        <w:t>narrative</w:t>
      </w:r>
      <w:r>
        <w:rPr>
          <w:sz w:val="24"/>
          <w:szCs w:val="24"/>
        </w:rPr>
        <w:t xml:space="preserve"> account of </w:t>
      </w:r>
      <w:r w:rsidR="00751D66">
        <w:rPr>
          <w:sz w:val="24"/>
          <w:szCs w:val="24"/>
        </w:rPr>
        <w:t xml:space="preserve">how </w:t>
      </w:r>
      <w:r>
        <w:rPr>
          <w:sz w:val="24"/>
          <w:szCs w:val="24"/>
        </w:rPr>
        <w:t xml:space="preserve">multiplier effects </w:t>
      </w:r>
      <w:r w:rsidR="00751D66">
        <w:rPr>
          <w:sz w:val="24"/>
          <w:szCs w:val="24"/>
        </w:rPr>
        <w:t xml:space="preserve">are </w:t>
      </w:r>
      <w:r>
        <w:rPr>
          <w:sz w:val="24"/>
          <w:szCs w:val="24"/>
        </w:rPr>
        <w:t>gen</w:t>
      </w:r>
      <w:r w:rsidR="00E13FFF">
        <w:rPr>
          <w:sz w:val="24"/>
          <w:szCs w:val="24"/>
        </w:rPr>
        <w:t xml:space="preserve">erally </w:t>
      </w:r>
      <w:r w:rsidR="00751D66">
        <w:rPr>
          <w:sz w:val="24"/>
          <w:szCs w:val="24"/>
        </w:rPr>
        <w:t xml:space="preserve">important to such an analysis </w:t>
      </w:r>
      <w:r w:rsidR="00E13FFF">
        <w:rPr>
          <w:sz w:val="24"/>
          <w:szCs w:val="24"/>
        </w:rPr>
        <w:t xml:space="preserve">and how tort reform in </w:t>
      </w:r>
      <w:r w:rsidR="00E13FFF">
        <w:rPr>
          <w:i/>
          <w:iCs/>
          <w:sz w:val="24"/>
          <w:szCs w:val="24"/>
        </w:rPr>
        <w:t>Ohio</w:t>
      </w:r>
      <w:r w:rsidR="00E13FFF">
        <w:rPr>
          <w:sz w:val="24"/>
          <w:szCs w:val="24"/>
        </w:rPr>
        <w:t xml:space="preserve"> has somehow </w:t>
      </w:r>
      <w:r w:rsidR="00751D66">
        <w:rPr>
          <w:sz w:val="24"/>
          <w:szCs w:val="24"/>
        </w:rPr>
        <w:t xml:space="preserve">provided a reliable benchmark for such reforms in other states. </w:t>
      </w:r>
    </w:p>
    <w:p w:rsidR="001A5DE8" w:rsidRDefault="001A5DE8" w:rsidP="001A5DE8">
      <w:pPr>
        <w:pStyle w:val="ListParagraph"/>
        <w:rPr>
          <w:sz w:val="24"/>
          <w:szCs w:val="24"/>
        </w:rPr>
      </w:pPr>
    </w:p>
    <w:p w:rsidR="001A5DE8" w:rsidRPr="00E51011" w:rsidRDefault="001A5DE8" w:rsidP="00E51011">
      <w:pPr>
        <w:pStyle w:val="ListParagraph"/>
        <w:widowControl w:val="0"/>
        <w:numPr>
          <w:ilvl w:val="0"/>
          <w:numId w:val="4"/>
        </w:numPr>
        <w:rPr>
          <w:sz w:val="24"/>
          <w:szCs w:val="24"/>
        </w:rPr>
      </w:pPr>
      <w:r>
        <w:rPr>
          <w:sz w:val="24"/>
          <w:szCs w:val="24"/>
        </w:rPr>
        <w:t>Perryman’s key conclusion</w:t>
      </w:r>
      <w:r w:rsidR="00E51011">
        <w:rPr>
          <w:sz w:val="24"/>
          <w:szCs w:val="24"/>
        </w:rPr>
        <w:t xml:space="preserve"> (at page 1)</w:t>
      </w:r>
      <w:r>
        <w:rPr>
          <w:sz w:val="24"/>
          <w:szCs w:val="24"/>
        </w:rPr>
        <w:t xml:space="preserve"> that the annual </w:t>
      </w:r>
      <w:r w:rsidRPr="00BD6D11">
        <w:rPr>
          <w:i/>
          <w:iCs/>
          <w:sz w:val="24"/>
          <w:szCs w:val="24"/>
        </w:rPr>
        <w:t>direct</w:t>
      </w:r>
      <w:r>
        <w:rPr>
          <w:sz w:val="24"/>
          <w:szCs w:val="24"/>
        </w:rPr>
        <w:t xml:space="preserve"> tort </w:t>
      </w:r>
      <w:r>
        <w:rPr>
          <w:i/>
          <w:iCs/>
          <w:sz w:val="24"/>
          <w:szCs w:val="24"/>
        </w:rPr>
        <w:t>costs</w:t>
      </w:r>
      <w:r w:rsidR="00E51011">
        <w:rPr>
          <w:sz w:val="24"/>
          <w:szCs w:val="24"/>
        </w:rPr>
        <w:t xml:space="preserve"> from </w:t>
      </w:r>
      <w:r w:rsidR="00E51011">
        <w:rPr>
          <w:i/>
          <w:iCs/>
          <w:sz w:val="24"/>
          <w:szCs w:val="24"/>
        </w:rPr>
        <w:t>excessive tort costs</w:t>
      </w:r>
      <w:r w:rsidR="00E51011">
        <w:rPr>
          <w:sz w:val="24"/>
          <w:szCs w:val="24"/>
        </w:rPr>
        <w:t xml:space="preserve"> </w:t>
      </w:r>
      <w:r>
        <w:rPr>
          <w:sz w:val="24"/>
          <w:szCs w:val="24"/>
        </w:rPr>
        <w:t xml:space="preserve">in Missouri are $2 billion </w:t>
      </w:r>
      <w:r w:rsidRPr="00E51011">
        <w:rPr>
          <w:b/>
          <w:bCs/>
          <w:sz w:val="24"/>
          <w:szCs w:val="24"/>
          <w:u w:val="single"/>
        </w:rPr>
        <w:t xml:space="preserve">is </w:t>
      </w:r>
      <w:r w:rsidR="00751D66" w:rsidRPr="00E51011">
        <w:rPr>
          <w:b/>
          <w:bCs/>
          <w:sz w:val="24"/>
          <w:szCs w:val="24"/>
          <w:u w:val="single"/>
        </w:rPr>
        <w:t xml:space="preserve">facial </w:t>
      </w:r>
      <w:r w:rsidRPr="00E51011">
        <w:rPr>
          <w:b/>
          <w:bCs/>
          <w:i/>
          <w:iCs/>
          <w:sz w:val="24"/>
          <w:szCs w:val="24"/>
          <w:u w:val="single"/>
        </w:rPr>
        <w:t>nonsense</w:t>
      </w:r>
      <w:r w:rsidR="00E51011">
        <w:rPr>
          <w:sz w:val="24"/>
          <w:szCs w:val="24"/>
        </w:rPr>
        <w:t>—linguistically, definitionally, and empirically</w:t>
      </w:r>
      <w:r w:rsidRPr="00E51011">
        <w:rPr>
          <w:sz w:val="24"/>
          <w:szCs w:val="24"/>
        </w:rPr>
        <w:t xml:space="preserve">. </w:t>
      </w:r>
      <w:r w:rsidR="000A1A45" w:rsidRPr="00E51011">
        <w:rPr>
          <w:i/>
          <w:iCs/>
          <w:sz w:val="24"/>
          <w:szCs w:val="24"/>
        </w:rPr>
        <w:t>First</w:t>
      </w:r>
      <w:r w:rsidR="00834827" w:rsidRPr="00E51011">
        <w:rPr>
          <w:i/>
          <w:iCs/>
          <w:sz w:val="24"/>
          <w:szCs w:val="24"/>
        </w:rPr>
        <w:t>,</w:t>
      </w:r>
      <w:r w:rsidR="00834827" w:rsidRPr="00E51011">
        <w:rPr>
          <w:sz w:val="24"/>
          <w:szCs w:val="24"/>
        </w:rPr>
        <w:t xml:space="preserve"> </w:t>
      </w:r>
      <w:r w:rsidR="009A0F82" w:rsidRPr="00E33E03">
        <w:rPr>
          <w:sz w:val="24"/>
          <w:szCs w:val="24"/>
          <w:u w:val="single"/>
        </w:rPr>
        <w:t xml:space="preserve">are </w:t>
      </w:r>
      <w:r w:rsidR="00834827" w:rsidRPr="00E33E03">
        <w:rPr>
          <w:sz w:val="24"/>
          <w:szCs w:val="24"/>
          <w:u w:val="single"/>
        </w:rPr>
        <w:t>these</w:t>
      </w:r>
      <w:r w:rsidR="009A0F82" w:rsidRPr="00E33E03">
        <w:rPr>
          <w:sz w:val="24"/>
          <w:szCs w:val="24"/>
          <w:u w:val="single"/>
        </w:rPr>
        <w:t xml:space="preserve"> </w:t>
      </w:r>
      <w:r w:rsidR="009A0F82" w:rsidRPr="00E33E03">
        <w:rPr>
          <w:i/>
          <w:iCs/>
          <w:sz w:val="24"/>
          <w:szCs w:val="24"/>
          <w:u w:val="single"/>
        </w:rPr>
        <w:t>net</w:t>
      </w:r>
      <w:r w:rsidR="009A0F82" w:rsidRPr="00E33E03">
        <w:rPr>
          <w:sz w:val="24"/>
          <w:szCs w:val="24"/>
          <w:u w:val="single"/>
        </w:rPr>
        <w:t xml:space="preserve"> costs</w:t>
      </w:r>
      <w:r w:rsidR="00834827" w:rsidRPr="00E51011">
        <w:rPr>
          <w:sz w:val="24"/>
          <w:szCs w:val="24"/>
        </w:rPr>
        <w:t xml:space="preserve">? This critical point </w:t>
      </w:r>
      <w:r w:rsidR="00E13FFF" w:rsidRPr="00E51011">
        <w:rPr>
          <w:sz w:val="24"/>
          <w:szCs w:val="24"/>
        </w:rPr>
        <w:t xml:space="preserve">would not be neglected by </w:t>
      </w:r>
      <w:r w:rsidR="00751D66" w:rsidRPr="00E51011">
        <w:rPr>
          <w:sz w:val="24"/>
          <w:szCs w:val="24"/>
        </w:rPr>
        <w:t>a serious economist purporting to present a cost-benefit analysis of reforms entailing (supposedly) billions of dollars.</w:t>
      </w:r>
      <w:r w:rsidR="00E92E2B" w:rsidRPr="00E51011">
        <w:rPr>
          <w:sz w:val="24"/>
          <w:szCs w:val="24"/>
        </w:rPr>
        <w:t xml:space="preserve"> This point is crucial: one does not just </w:t>
      </w:r>
      <w:r w:rsidR="00B305D0" w:rsidRPr="00E51011">
        <w:rPr>
          <w:sz w:val="24"/>
          <w:szCs w:val="24"/>
        </w:rPr>
        <w:t xml:space="preserve">add up “costs” for something called “torts” and then remove them from the economy without actually detailing the dynamic, net effects of such . . . </w:t>
      </w:r>
    </w:p>
    <w:p w:rsidR="00E51011" w:rsidRDefault="00E51011" w:rsidP="00E51011">
      <w:pPr>
        <w:pStyle w:val="ListParagraph"/>
        <w:widowControl w:val="0"/>
        <w:rPr>
          <w:sz w:val="24"/>
          <w:szCs w:val="24"/>
        </w:rPr>
      </w:pPr>
    </w:p>
    <w:p w:rsidR="00E51011" w:rsidRDefault="00E51011" w:rsidP="00E51011">
      <w:pPr>
        <w:pStyle w:val="ListParagraph"/>
        <w:widowControl w:val="0"/>
        <w:numPr>
          <w:ilvl w:val="0"/>
          <w:numId w:val="4"/>
        </w:numPr>
        <w:rPr>
          <w:sz w:val="24"/>
          <w:szCs w:val="24"/>
        </w:rPr>
      </w:pPr>
      <w:r w:rsidRPr="00E51011">
        <w:rPr>
          <w:i/>
          <w:iCs/>
          <w:sz w:val="24"/>
          <w:szCs w:val="24"/>
        </w:rPr>
        <w:t>Second</w:t>
      </w:r>
      <w:r>
        <w:rPr>
          <w:sz w:val="24"/>
          <w:szCs w:val="24"/>
        </w:rPr>
        <w:t>, stating that costs are “excessive” presupposes that some analysis has already been performed—</w:t>
      </w:r>
      <w:r w:rsidR="009B7428">
        <w:rPr>
          <w:sz w:val="24"/>
          <w:szCs w:val="24"/>
        </w:rPr>
        <w:t xml:space="preserve">i.e., </w:t>
      </w:r>
      <w:r>
        <w:rPr>
          <w:sz w:val="24"/>
          <w:szCs w:val="24"/>
        </w:rPr>
        <w:t xml:space="preserve">that these costs are excessive because they </w:t>
      </w:r>
      <w:r>
        <w:rPr>
          <w:i/>
          <w:iCs/>
          <w:sz w:val="24"/>
          <w:szCs w:val="24"/>
        </w:rPr>
        <w:t>exceed</w:t>
      </w:r>
      <w:r>
        <w:rPr>
          <w:sz w:val="24"/>
          <w:szCs w:val="24"/>
        </w:rPr>
        <w:t xml:space="preserve"> some optimal amount. </w:t>
      </w:r>
      <w:r w:rsidRPr="00E33E03">
        <w:rPr>
          <w:i/>
          <w:iCs/>
          <w:sz w:val="24"/>
          <w:szCs w:val="24"/>
          <w:u w:val="single"/>
        </w:rPr>
        <w:t>Nowhere</w:t>
      </w:r>
      <w:r w:rsidRPr="00E33E03">
        <w:rPr>
          <w:sz w:val="24"/>
          <w:szCs w:val="24"/>
          <w:u w:val="single"/>
        </w:rPr>
        <w:t xml:space="preserve"> </w:t>
      </w:r>
      <w:r w:rsidR="00E33E03" w:rsidRPr="00E33E03">
        <w:rPr>
          <w:sz w:val="24"/>
          <w:szCs w:val="24"/>
          <w:u w:val="single"/>
        </w:rPr>
        <w:t>in the Report is there such an analysis</w:t>
      </w:r>
      <w:r w:rsidR="00E33E03">
        <w:rPr>
          <w:sz w:val="24"/>
          <w:szCs w:val="24"/>
        </w:rPr>
        <w:t xml:space="preserve"> . . .</w:t>
      </w:r>
    </w:p>
    <w:p w:rsidR="00E51011" w:rsidRDefault="00E51011" w:rsidP="00E51011">
      <w:pPr>
        <w:pStyle w:val="ListParagraph"/>
        <w:widowControl w:val="0"/>
        <w:rPr>
          <w:sz w:val="24"/>
          <w:szCs w:val="24"/>
        </w:rPr>
      </w:pPr>
    </w:p>
    <w:p w:rsidR="00E51011" w:rsidRPr="00E51011" w:rsidRDefault="00E51011" w:rsidP="00E51011">
      <w:pPr>
        <w:pStyle w:val="ListParagraph"/>
        <w:widowControl w:val="0"/>
        <w:numPr>
          <w:ilvl w:val="0"/>
          <w:numId w:val="4"/>
        </w:numPr>
        <w:rPr>
          <w:sz w:val="24"/>
          <w:szCs w:val="24"/>
        </w:rPr>
      </w:pPr>
      <w:r>
        <w:rPr>
          <w:i/>
          <w:iCs/>
          <w:sz w:val="24"/>
          <w:szCs w:val="24"/>
        </w:rPr>
        <w:t>Third</w:t>
      </w:r>
      <w:r>
        <w:rPr>
          <w:sz w:val="24"/>
          <w:szCs w:val="24"/>
        </w:rPr>
        <w:t xml:space="preserve">, merely stating that </w:t>
      </w:r>
      <w:r w:rsidR="009B7428">
        <w:rPr>
          <w:sz w:val="24"/>
          <w:szCs w:val="24"/>
        </w:rPr>
        <w:t>$2 billion in “excessive tort costs” result in $2 billion in “direct costs” is, to say the least, awkwardly phrased</w:t>
      </w:r>
      <w:r w:rsidR="00B967D8">
        <w:rPr>
          <w:sz w:val="24"/>
          <w:szCs w:val="24"/>
        </w:rPr>
        <w:t xml:space="preserve">, possibly tautological, and, naturally, </w:t>
      </w:r>
      <w:r w:rsidR="00B967D8" w:rsidRPr="00B967D8">
        <w:rPr>
          <w:sz w:val="24"/>
          <w:szCs w:val="24"/>
          <w:u w:val="single"/>
        </w:rPr>
        <w:t>completely unsubstantiated</w:t>
      </w:r>
      <w:r w:rsidR="00B967D8">
        <w:rPr>
          <w:sz w:val="24"/>
          <w:szCs w:val="24"/>
        </w:rPr>
        <w:t xml:space="preserve"> . . .</w:t>
      </w:r>
    </w:p>
    <w:p w:rsidR="00B305D0" w:rsidRDefault="00B305D0" w:rsidP="00B305D0">
      <w:pPr>
        <w:pStyle w:val="ListParagraph"/>
        <w:widowControl w:val="0"/>
        <w:rPr>
          <w:sz w:val="24"/>
          <w:szCs w:val="24"/>
        </w:rPr>
      </w:pPr>
    </w:p>
    <w:p w:rsidR="00B305D0" w:rsidRPr="00B305D0" w:rsidRDefault="00B967D8" w:rsidP="00B305D0">
      <w:pPr>
        <w:pStyle w:val="ListParagraph"/>
        <w:widowControl w:val="0"/>
        <w:numPr>
          <w:ilvl w:val="0"/>
          <w:numId w:val="4"/>
        </w:numPr>
        <w:rPr>
          <w:sz w:val="24"/>
          <w:szCs w:val="24"/>
        </w:rPr>
      </w:pPr>
      <w:r>
        <w:rPr>
          <w:i/>
          <w:iCs/>
          <w:sz w:val="24"/>
          <w:szCs w:val="24"/>
        </w:rPr>
        <w:t>Fourth</w:t>
      </w:r>
      <w:r w:rsidR="00B305D0">
        <w:rPr>
          <w:sz w:val="24"/>
          <w:szCs w:val="24"/>
        </w:rPr>
        <w:t xml:space="preserve">, Perryman, just as crucially, does not actually define what “tort” costs entail in any meaningful way—what </w:t>
      </w:r>
      <w:r w:rsidR="00B305D0" w:rsidRPr="00B305D0">
        <w:rPr>
          <w:i/>
          <w:iCs/>
          <w:sz w:val="24"/>
          <w:szCs w:val="24"/>
        </w:rPr>
        <w:t>are</w:t>
      </w:r>
      <w:r w:rsidR="00B305D0">
        <w:rPr>
          <w:sz w:val="24"/>
          <w:szCs w:val="24"/>
        </w:rPr>
        <w:t xml:space="preserve"> they?</w:t>
      </w:r>
      <w:r w:rsidR="00BD6D11">
        <w:rPr>
          <w:sz w:val="24"/>
          <w:szCs w:val="24"/>
        </w:rPr>
        <w:t xml:space="preserve"> Are they actually costs stemming directly from the legal tort system or do they, for example, include unrelated insurance premiums</w:t>
      </w:r>
      <w:r w:rsidR="007D457C">
        <w:rPr>
          <w:sz w:val="24"/>
          <w:szCs w:val="24"/>
        </w:rPr>
        <w:t xml:space="preserve"> or insurance disputes</w:t>
      </w:r>
      <w:r w:rsidR="00635E7D">
        <w:rPr>
          <w:sz w:val="24"/>
          <w:szCs w:val="24"/>
        </w:rPr>
        <w:t xml:space="preserve"> that are not litigated</w:t>
      </w:r>
      <w:r w:rsidR="00BD6D11">
        <w:rPr>
          <w:sz w:val="24"/>
          <w:szCs w:val="24"/>
        </w:rPr>
        <w:t>?</w:t>
      </w:r>
    </w:p>
    <w:p w:rsidR="00B5538F" w:rsidRDefault="00B5538F" w:rsidP="00B5538F">
      <w:pPr>
        <w:pStyle w:val="ListParagraph"/>
        <w:rPr>
          <w:sz w:val="24"/>
          <w:szCs w:val="24"/>
        </w:rPr>
      </w:pPr>
    </w:p>
    <w:p w:rsidR="0082160E" w:rsidRPr="0082160E" w:rsidRDefault="00B5538F" w:rsidP="0082160E">
      <w:pPr>
        <w:pStyle w:val="ListParagraph"/>
        <w:numPr>
          <w:ilvl w:val="0"/>
          <w:numId w:val="4"/>
        </w:numPr>
        <w:rPr>
          <w:sz w:val="24"/>
          <w:szCs w:val="24"/>
        </w:rPr>
      </w:pPr>
      <w:r>
        <w:rPr>
          <w:sz w:val="24"/>
          <w:szCs w:val="24"/>
        </w:rPr>
        <w:t xml:space="preserve">Likewise, </w:t>
      </w:r>
      <w:r w:rsidR="000A79EF">
        <w:rPr>
          <w:sz w:val="24"/>
          <w:szCs w:val="24"/>
        </w:rPr>
        <w:t xml:space="preserve">Perryman somehow concludes </w:t>
      </w:r>
      <w:r w:rsidR="001A074C">
        <w:rPr>
          <w:sz w:val="24"/>
          <w:szCs w:val="24"/>
        </w:rPr>
        <w:t>that these supposedly excessive tort costs result in $3.1 billion in lost annual output for Missouri; here we see the aforementioned multipliers</w:t>
      </w:r>
      <w:r w:rsidR="0082160E">
        <w:rPr>
          <w:sz w:val="24"/>
          <w:szCs w:val="24"/>
        </w:rPr>
        <w:t xml:space="preserve">—silently, in the background, and </w:t>
      </w:r>
      <w:r w:rsidR="0082160E" w:rsidRPr="00920A15">
        <w:rPr>
          <w:sz w:val="24"/>
          <w:szCs w:val="24"/>
          <w:u w:val="single"/>
        </w:rPr>
        <w:t>completely unsubstantiated</w:t>
      </w:r>
      <w:r w:rsidR="0082160E">
        <w:rPr>
          <w:sz w:val="24"/>
          <w:szCs w:val="24"/>
        </w:rPr>
        <w:t>—</w:t>
      </w:r>
      <w:r w:rsidR="00DE5E95">
        <w:rPr>
          <w:sz w:val="24"/>
          <w:szCs w:val="24"/>
        </w:rPr>
        <w:t xml:space="preserve">resulting </w:t>
      </w:r>
      <w:r w:rsidR="00920A15">
        <w:rPr>
          <w:sz w:val="24"/>
          <w:szCs w:val="24"/>
        </w:rPr>
        <w:t xml:space="preserve">in a shockingly large number. </w:t>
      </w:r>
    </w:p>
    <w:p w:rsidR="00120B25" w:rsidRDefault="00120B25" w:rsidP="00120B25">
      <w:pPr>
        <w:pStyle w:val="ListParagraph"/>
        <w:rPr>
          <w:sz w:val="24"/>
          <w:szCs w:val="24"/>
        </w:rPr>
      </w:pPr>
    </w:p>
    <w:p w:rsidR="00E92E2B" w:rsidRDefault="00857A1E" w:rsidP="00E92E2B">
      <w:pPr>
        <w:pStyle w:val="ListParagraph"/>
        <w:numPr>
          <w:ilvl w:val="0"/>
          <w:numId w:val="4"/>
        </w:numPr>
        <w:rPr>
          <w:sz w:val="24"/>
          <w:szCs w:val="24"/>
        </w:rPr>
      </w:pPr>
      <w:r>
        <w:rPr>
          <w:sz w:val="24"/>
          <w:szCs w:val="24"/>
        </w:rPr>
        <w:t>Perryman repeatedly cites the U.S. Chamber Institute for Legal Reform</w:t>
      </w:r>
      <w:r w:rsidR="003514C5">
        <w:rPr>
          <w:sz w:val="24"/>
          <w:szCs w:val="24"/>
        </w:rPr>
        <w:t xml:space="preserve"> (“ILR”)</w:t>
      </w:r>
      <w:r>
        <w:rPr>
          <w:sz w:val="24"/>
          <w:szCs w:val="24"/>
        </w:rPr>
        <w:t xml:space="preserve"> in the report</w:t>
      </w:r>
      <w:r w:rsidR="00E64C75">
        <w:rPr>
          <w:sz w:val="24"/>
          <w:szCs w:val="24"/>
        </w:rPr>
        <w:t xml:space="preserve">—despite its somewhat neutral-sounding </w:t>
      </w:r>
      <w:r w:rsidR="00905C77">
        <w:rPr>
          <w:sz w:val="24"/>
          <w:szCs w:val="24"/>
        </w:rPr>
        <w:t>name, this is a lobbying organization</w:t>
      </w:r>
      <w:r w:rsidR="00B01067">
        <w:rPr>
          <w:sz w:val="24"/>
          <w:szCs w:val="24"/>
        </w:rPr>
        <w:t xml:space="preserve">; </w:t>
      </w:r>
      <w:r w:rsidR="00B01067" w:rsidRPr="00BE06A0">
        <w:rPr>
          <w:sz w:val="24"/>
          <w:szCs w:val="24"/>
          <w:u w:val="single"/>
        </w:rPr>
        <w:t xml:space="preserve">no serious economist </w:t>
      </w:r>
      <w:r w:rsidR="00447FC7" w:rsidRPr="00BE06A0">
        <w:rPr>
          <w:sz w:val="24"/>
          <w:szCs w:val="24"/>
          <w:u w:val="single"/>
        </w:rPr>
        <w:t xml:space="preserve">would </w:t>
      </w:r>
      <w:r w:rsidR="001272F4" w:rsidRPr="00BE06A0">
        <w:rPr>
          <w:sz w:val="24"/>
          <w:szCs w:val="24"/>
          <w:u w:val="single"/>
        </w:rPr>
        <w:t>meaningfully rely on such input</w:t>
      </w:r>
      <w:r w:rsidR="001272F4">
        <w:rPr>
          <w:sz w:val="24"/>
          <w:szCs w:val="24"/>
        </w:rPr>
        <w:t xml:space="preserve">. </w:t>
      </w:r>
      <w:r w:rsidR="00E92E2B">
        <w:rPr>
          <w:sz w:val="24"/>
          <w:szCs w:val="24"/>
        </w:rPr>
        <w:t xml:space="preserve">Likewise, the Report cites the Pacific Research Institute and Federalist Society—Perryman essentially just gathers </w:t>
      </w:r>
      <w:r w:rsidR="001A074C">
        <w:rPr>
          <w:sz w:val="24"/>
          <w:szCs w:val="24"/>
        </w:rPr>
        <w:t xml:space="preserve">citations from random libertarian sources. Again, it is entirely obvious that he does not act as an </w:t>
      </w:r>
      <w:r w:rsidR="001A074C" w:rsidRPr="001A074C">
        <w:rPr>
          <w:i/>
          <w:iCs/>
          <w:sz w:val="24"/>
          <w:szCs w:val="24"/>
        </w:rPr>
        <w:t>economist</w:t>
      </w:r>
      <w:r w:rsidR="001A074C">
        <w:rPr>
          <w:sz w:val="24"/>
          <w:szCs w:val="24"/>
        </w:rPr>
        <w:t>.</w:t>
      </w:r>
    </w:p>
    <w:p w:rsidR="003F1020" w:rsidRPr="00E64C75" w:rsidRDefault="003F1020" w:rsidP="003F1020">
      <w:pPr>
        <w:pStyle w:val="ListParagraph"/>
        <w:rPr>
          <w:sz w:val="24"/>
          <w:szCs w:val="24"/>
        </w:rPr>
      </w:pPr>
    </w:p>
    <w:p w:rsidR="004223D9" w:rsidRDefault="00A35380" w:rsidP="004D1956">
      <w:pPr>
        <w:pStyle w:val="ListParagraph"/>
        <w:numPr>
          <w:ilvl w:val="0"/>
          <w:numId w:val="4"/>
        </w:numPr>
        <w:rPr>
          <w:sz w:val="24"/>
          <w:szCs w:val="24"/>
        </w:rPr>
      </w:pPr>
      <w:r>
        <w:rPr>
          <w:sz w:val="24"/>
          <w:szCs w:val="24"/>
        </w:rPr>
        <w:t xml:space="preserve">Perryman </w:t>
      </w:r>
      <w:r w:rsidRPr="00A35380">
        <w:rPr>
          <w:b/>
          <w:bCs/>
          <w:i/>
          <w:iCs/>
          <w:sz w:val="24"/>
          <w:szCs w:val="24"/>
          <w:u w:val="single"/>
        </w:rPr>
        <w:t>completely</w:t>
      </w:r>
      <w:r w:rsidRPr="00A35380">
        <w:rPr>
          <w:b/>
          <w:bCs/>
          <w:sz w:val="24"/>
          <w:szCs w:val="24"/>
          <w:u w:val="single"/>
        </w:rPr>
        <w:t xml:space="preserve"> misrepresents</w:t>
      </w:r>
      <w:r>
        <w:rPr>
          <w:sz w:val="24"/>
          <w:szCs w:val="24"/>
        </w:rPr>
        <w:t xml:space="preserve"> </w:t>
      </w:r>
      <w:r w:rsidR="00B01067">
        <w:rPr>
          <w:sz w:val="24"/>
          <w:szCs w:val="24"/>
        </w:rPr>
        <w:t xml:space="preserve">work done by Towers Watson, an ostensibly </w:t>
      </w:r>
      <w:r w:rsidR="00A95FC9">
        <w:rPr>
          <w:sz w:val="24"/>
          <w:szCs w:val="24"/>
        </w:rPr>
        <w:t xml:space="preserve">neutral </w:t>
      </w:r>
      <w:r w:rsidR="00630573">
        <w:rPr>
          <w:sz w:val="24"/>
          <w:szCs w:val="24"/>
        </w:rPr>
        <w:t xml:space="preserve">and well-regarded </w:t>
      </w:r>
      <w:r w:rsidR="00A95FC9">
        <w:rPr>
          <w:sz w:val="24"/>
          <w:szCs w:val="24"/>
        </w:rPr>
        <w:t>consulting firm</w:t>
      </w:r>
      <w:r w:rsidR="00DE5E95">
        <w:rPr>
          <w:sz w:val="24"/>
          <w:szCs w:val="24"/>
        </w:rPr>
        <w:t xml:space="preserve"> . . .</w:t>
      </w:r>
    </w:p>
    <w:p w:rsidR="00CD3AFC" w:rsidRDefault="00CD3AFC" w:rsidP="00CD3AFC">
      <w:pPr>
        <w:pStyle w:val="ListParagraph"/>
        <w:rPr>
          <w:sz w:val="24"/>
          <w:szCs w:val="24"/>
        </w:rPr>
      </w:pPr>
    </w:p>
    <w:p w:rsidR="00CD3AFC" w:rsidRDefault="00CD3AFC" w:rsidP="00CD3AFC">
      <w:pPr>
        <w:pStyle w:val="ListParagraph"/>
        <w:numPr>
          <w:ilvl w:val="0"/>
          <w:numId w:val="4"/>
        </w:numPr>
        <w:rPr>
          <w:sz w:val="24"/>
          <w:szCs w:val="24"/>
        </w:rPr>
      </w:pPr>
      <w:r>
        <w:rPr>
          <w:sz w:val="24"/>
          <w:szCs w:val="24"/>
        </w:rPr>
        <w:t>On page 5 of the Report, Perryman attempts to shock us with the growth of “tort costs” in the United States since 1950—this chart is effectively meaningless . . .</w:t>
      </w:r>
    </w:p>
    <w:p w:rsidR="00CD3AFC" w:rsidRDefault="00CD3AFC" w:rsidP="00CD3AFC">
      <w:pPr>
        <w:pStyle w:val="ListParagraph"/>
        <w:rPr>
          <w:sz w:val="24"/>
          <w:szCs w:val="24"/>
        </w:rPr>
      </w:pPr>
    </w:p>
    <w:p w:rsidR="00CD3AFC" w:rsidRDefault="00CD3AFC" w:rsidP="00CD3AFC">
      <w:pPr>
        <w:pStyle w:val="ListParagraph"/>
        <w:numPr>
          <w:ilvl w:val="0"/>
          <w:numId w:val="4"/>
        </w:numPr>
        <w:rPr>
          <w:sz w:val="24"/>
          <w:szCs w:val="24"/>
        </w:rPr>
      </w:pPr>
      <w:r w:rsidRPr="00EE7284">
        <w:rPr>
          <w:i/>
          <w:iCs/>
          <w:sz w:val="24"/>
          <w:szCs w:val="24"/>
        </w:rPr>
        <w:lastRenderedPageBreak/>
        <w:t>First</w:t>
      </w:r>
      <w:r w:rsidRPr="00EE7284">
        <w:rPr>
          <w:sz w:val="24"/>
          <w:szCs w:val="24"/>
        </w:rPr>
        <w:t xml:space="preserve">, this graph is </w:t>
      </w:r>
      <w:r w:rsidRPr="00EE7284">
        <w:rPr>
          <w:b/>
          <w:bCs/>
          <w:i/>
          <w:iCs/>
          <w:sz w:val="24"/>
          <w:szCs w:val="24"/>
        </w:rPr>
        <w:t>objectively incorrect</w:t>
      </w:r>
      <w:r w:rsidRPr="00EE7284">
        <w:rPr>
          <w:i/>
          <w:iCs/>
          <w:sz w:val="24"/>
          <w:szCs w:val="24"/>
        </w:rPr>
        <w:t>—</w:t>
      </w:r>
      <w:r w:rsidRPr="00EE7284">
        <w:rPr>
          <w:sz w:val="24"/>
          <w:szCs w:val="24"/>
        </w:rPr>
        <w:t>the Y-axis is labeled in hundreds of millions of U.S. dollars times “millions of nominal U.S. dollars”—this should be “</w:t>
      </w:r>
      <w:r w:rsidRPr="00EE7284">
        <w:rPr>
          <w:i/>
          <w:iCs/>
          <w:sz w:val="24"/>
          <w:szCs w:val="24"/>
        </w:rPr>
        <w:t>thousands</w:t>
      </w:r>
      <w:r w:rsidRPr="00EE7284">
        <w:rPr>
          <w:sz w:val="24"/>
          <w:szCs w:val="24"/>
        </w:rPr>
        <w:t xml:space="preserve"> of nominal U.S. dollars”</w:t>
      </w:r>
      <w:r>
        <w:rPr>
          <w:sz w:val="24"/>
          <w:szCs w:val="24"/>
        </w:rPr>
        <w:t xml:space="preserve"> . . . </w:t>
      </w:r>
      <w:r w:rsidRPr="00EE7284">
        <w:rPr>
          <w:sz w:val="24"/>
          <w:szCs w:val="24"/>
        </w:rPr>
        <w:t xml:space="preserve"> </w:t>
      </w:r>
    </w:p>
    <w:p w:rsidR="00CD3AFC" w:rsidRDefault="00CD3AFC" w:rsidP="00CD3AFC">
      <w:pPr>
        <w:pStyle w:val="ListParagraph"/>
        <w:rPr>
          <w:sz w:val="24"/>
          <w:szCs w:val="24"/>
        </w:rPr>
      </w:pPr>
    </w:p>
    <w:p w:rsidR="00CD3AFC" w:rsidRPr="00CD3AFC" w:rsidRDefault="00CD3AFC" w:rsidP="00CD3AFC">
      <w:pPr>
        <w:pStyle w:val="ListParagraph"/>
        <w:numPr>
          <w:ilvl w:val="0"/>
          <w:numId w:val="4"/>
        </w:numPr>
        <w:rPr>
          <w:sz w:val="24"/>
          <w:szCs w:val="24"/>
        </w:rPr>
      </w:pPr>
      <w:r w:rsidRPr="00EE7284">
        <w:rPr>
          <w:i/>
          <w:iCs/>
          <w:sz w:val="24"/>
          <w:szCs w:val="24"/>
        </w:rPr>
        <w:t>Second</w:t>
      </w:r>
      <w:r w:rsidRPr="00EE7284">
        <w:rPr>
          <w:sz w:val="24"/>
          <w:szCs w:val="24"/>
        </w:rPr>
        <w:t xml:space="preserve">, these are </w:t>
      </w:r>
      <w:r w:rsidRPr="00EE7284">
        <w:rPr>
          <w:i/>
          <w:iCs/>
          <w:sz w:val="24"/>
          <w:szCs w:val="24"/>
        </w:rPr>
        <w:t>nominal</w:t>
      </w:r>
      <w:r w:rsidRPr="00EE7284">
        <w:rPr>
          <w:sz w:val="24"/>
          <w:szCs w:val="24"/>
        </w:rPr>
        <w:t xml:space="preserve">—i.e., </w:t>
      </w:r>
      <w:r w:rsidRPr="00EE7284">
        <w:rPr>
          <w:b/>
          <w:bCs/>
          <w:i/>
          <w:iCs/>
          <w:sz w:val="24"/>
          <w:szCs w:val="24"/>
        </w:rPr>
        <w:t>not real, not inflation-weighted</w:t>
      </w:r>
      <w:r w:rsidRPr="00EE7284">
        <w:rPr>
          <w:sz w:val="24"/>
          <w:szCs w:val="24"/>
        </w:rPr>
        <w:t xml:space="preserve">—dollars. </w:t>
      </w:r>
      <w:r>
        <w:rPr>
          <w:sz w:val="24"/>
          <w:szCs w:val="24"/>
        </w:rPr>
        <w:t>No serious economist would present such a chart without weighting it for inflation and/or comparing it to nominal GDP growth or a similar measure of national economic growth . . .</w:t>
      </w:r>
    </w:p>
    <w:p w:rsidR="00580D1E" w:rsidRDefault="00580D1E" w:rsidP="00580D1E">
      <w:pPr>
        <w:pStyle w:val="ListParagraph"/>
        <w:rPr>
          <w:sz w:val="24"/>
          <w:szCs w:val="24"/>
        </w:rPr>
      </w:pPr>
    </w:p>
    <w:p w:rsidR="00DE5E95" w:rsidRPr="00CD3AFC" w:rsidRDefault="00580D1E" w:rsidP="00DE5E95">
      <w:pPr>
        <w:pStyle w:val="ListParagraph"/>
        <w:numPr>
          <w:ilvl w:val="0"/>
          <w:numId w:val="4"/>
        </w:numPr>
        <w:rPr>
          <w:sz w:val="24"/>
          <w:szCs w:val="24"/>
        </w:rPr>
      </w:pPr>
      <w:r>
        <w:rPr>
          <w:sz w:val="24"/>
          <w:szCs w:val="24"/>
        </w:rPr>
        <w:t>The reason why Perryman selected to misrepresent the Towers Watson data on page 5 is</w:t>
      </w:r>
      <w:r w:rsidR="00A925BA">
        <w:rPr>
          <w:sz w:val="24"/>
          <w:szCs w:val="24"/>
        </w:rPr>
        <w:t>, as noted above,</w:t>
      </w:r>
      <w:r>
        <w:rPr>
          <w:sz w:val="24"/>
          <w:szCs w:val="24"/>
        </w:rPr>
        <w:t xml:space="preserve"> fairly obvious</w:t>
      </w:r>
      <w:r w:rsidR="00A925BA">
        <w:rPr>
          <w:sz w:val="24"/>
          <w:szCs w:val="24"/>
        </w:rPr>
        <w:t>—</w:t>
      </w:r>
      <w:r w:rsidR="00A925BA">
        <w:rPr>
          <w:b/>
          <w:bCs/>
          <w:sz w:val="24"/>
          <w:szCs w:val="24"/>
          <w:u w:val="single"/>
        </w:rPr>
        <w:t>BECAUSE THAT DATA EVIDENCED THAT TORT COSTS HAVE GENERALLY BEEN DECLINING RELATIVE TO GDP FOR DECADES</w:t>
      </w:r>
      <w:r w:rsidRPr="00A925BA">
        <w:rPr>
          <w:sz w:val="24"/>
          <w:szCs w:val="24"/>
        </w:rPr>
        <w:t xml:space="preserve">: </w:t>
      </w:r>
    </w:p>
    <w:p w:rsidR="003F1020" w:rsidRDefault="003F1020" w:rsidP="003F1020">
      <w:pPr>
        <w:pStyle w:val="ListParagraph"/>
        <w:rPr>
          <w:sz w:val="24"/>
          <w:szCs w:val="24"/>
        </w:rPr>
      </w:pPr>
    </w:p>
    <w:p w:rsidR="00BA51F8" w:rsidRPr="001C5A25" w:rsidRDefault="00A925BA" w:rsidP="004D1956">
      <w:pPr>
        <w:pStyle w:val="ListParagraph"/>
        <w:rPr>
          <w:sz w:val="24"/>
          <w:szCs w:val="24"/>
        </w:rPr>
      </w:pPr>
      <w:r>
        <w:rPr>
          <w:noProof/>
          <w:sz w:val="24"/>
          <w:szCs w:val="24"/>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5937509" cy="3218688"/>
            <wp:effectExtent l="0" t="0" r="0" b="0"/>
            <wp:wrapTopAndBottom/>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3-07 at 3.13.19 PM.png"/>
                    <pic:cNvPicPr/>
                  </pic:nvPicPr>
                  <pic:blipFill>
                    <a:blip r:embed="rId8">
                      <a:extLst>
                        <a:ext uri="{28A0092B-C50C-407E-A947-70E740481C1C}">
                          <a14:useLocalDpi xmlns:a14="http://schemas.microsoft.com/office/drawing/2010/main" val="0"/>
                        </a:ext>
                      </a:extLst>
                    </a:blip>
                    <a:stretch>
                      <a:fillRect/>
                    </a:stretch>
                  </pic:blipFill>
                  <pic:spPr>
                    <a:xfrm>
                      <a:off x="0" y="0"/>
                      <a:ext cx="5937509" cy="3218688"/>
                    </a:xfrm>
                    <a:prstGeom prst="rect">
                      <a:avLst/>
                    </a:prstGeom>
                  </pic:spPr>
                </pic:pic>
              </a:graphicData>
            </a:graphic>
            <wp14:sizeRelV relativeFrom="margin">
              <wp14:pctHeight>0</wp14:pctHeight>
            </wp14:sizeRelV>
          </wp:anchor>
        </w:drawing>
      </w:r>
    </w:p>
    <w:p w:rsidR="00FE0B03" w:rsidRPr="00801CF5" w:rsidRDefault="005514D7" w:rsidP="00FE0B03">
      <w:pPr>
        <w:pStyle w:val="ListParagraph"/>
        <w:numPr>
          <w:ilvl w:val="0"/>
          <w:numId w:val="4"/>
        </w:numPr>
        <w:rPr>
          <w:sz w:val="24"/>
          <w:szCs w:val="24"/>
        </w:rPr>
      </w:pPr>
      <w:r>
        <w:rPr>
          <w:sz w:val="24"/>
          <w:szCs w:val="24"/>
        </w:rPr>
        <w:t xml:space="preserve">The Perryman </w:t>
      </w:r>
      <w:r w:rsidR="00CD3AFC">
        <w:rPr>
          <w:sz w:val="24"/>
          <w:szCs w:val="24"/>
        </w:rPr>
        <w:t>R</w:t>
      </w:r>
      <w:r>
        <w:rPr>
          <w:sz w:val="24"/>
          <w:szCs w:val="24"/>
        </w:rPr>
        <w:t xml:space="preserve">eport inexplicably uses </w:t>
      </w:r>
      <w:r w:rsidRPr="005514D7">
        <w:rPr>
          <w:i/>
          <w:iCs/>
          <w:sz w:val="24"/>
          <w:szCs w:val="24"/>
        </w:rPr>
        <w:t>Ohio</w:t>
      </w:r>
      <w:r>
        <w:rPr>
          <w:sz w:val="24"/>
          <w:szCs w:val="24"/>
        </w:rPr>
        <w:t xml:space="preserve"> as a benchmark </w:t>
      </w:r>
      <w:r w:rsidR="001C5A25">
        <w:rPr>
          <w:sz w:val="24"/>
          <w:szCs w:val="24"/>
        </w:rPr>
        <w:t xml:space="preserve">for proposed tort reforms in </w:t>
      </w:r>
      <w:r w:rsidR="007B69E3">
        <w:rPr>
          <w:sz w:val="24"/>
          <w:szCs w:val="24"/>
        </w:rPr>
        <w:t xml:space="preserve">a number of other states—this, too, is prima facie nonsense. </w:t>
      </w:r>
      <w:r w:rsidR="00CD3AFC">
        <w:rPr>
          <w:sz w:val="24"/>
          <w:szCs w:val="24"/>
        </w:rPr>
        <w:t xml:space="preserve">Would, for example, Missouri enact the exact same reforms that </w:t>
      </w:r>
      <w:r w:rsidR="00FE0B03">
        <w:rPr>
          <w:sz w:val="24"/>
          <w:szCs w:val="24"/>
        </w:rPr>
        <w:t xml:space="preserve">Ohio did? </w:t>
      </w:r>
      <w:r w:rsidR="00FE0B03" w:rsidRPr="00FE0B03">
        <w:rPr>
          <w:i/>
          <w:iCs/>
          <w:sz w:val="24"/>
          <w:szCs w:val="24"/>
        </w:rPr>
        <w:t>Why</w:t>
      </w:r>
      <w:r w:rsidR="00FE0B03">
        <w:rPr>
          <w:sz w:val="24"/>
          <w:szCs w:val="24"/>
        </w:rPr>
        <w:t xml:space="preserve"> would </w:t>
      </w:r>
      <w:r w:rsidR="00801CF5">
        <w:rPr>
          <w:sz w:val="24"/>
          <w:szCs w:val="24"/>
        </w:rPr>
        <w:t>the purported economic effects of Ohio’s reforms be a reliable indicator for Missouri’s</w:t>
      </w:r>
      <w:r w:rsidR="00FE0B03">
        <w:rPr>
          <w:sz w:val="24"/>
          <w:szCs w:val="24"/>
        </w:rPr>
        <w:t xml:space="preserve">? Perhaps most importantly, </w:t>
      </w:r>
      <w:r w:rsidR="00FE0B03" w:rsidRPr="00801CF5">
        <w:rPr>
          <w:b/>
          <w:bCs/>
          <w:sz w:val="24"/>
          <w:szCs w:val="24"/>
          <w:u w:val="single"/>
        </w:rPr>
        <w:t xml:space="preserve">why would anyone trust Ray Perryman to have accurately </w:t>
      </w:r>
      <w:r w:rsidR="00801CF5" w:rsidRPr="00801CF5">
        <w:rPr>
          <w:b/>
          <w:bCs/>
          <w:sz w:val="24"/>
          <w:szCs w:val="24"/>
          <w:u w:val="single"/>
        </w:rPr>
        <w:t>calculated the actual economic effects of Ohio’s legal reforms</w:t>
      </w:r>
      <w:r w:rsidR="00801CF5">
        <w:rPr>
          <w:sz w:val="24"/>
          <w:szCs w:val="24"/>
        </w:rPr>
        <w:t>?</w:t>
      </w:r>
    </w:p>
    <w:p w:rsidR="004223D9" w:rsidRDefault="004223D9" w:rsidP="004223D9">
      <w:pPr>
        <w:pStyle w:val="ListParagraph"/>
        <w:rPr>
          <w:sz w:val="24"/>
          <w:szCs w:val="24"/>
        </w:rPr>
      </w:pPr>
    </w:p>
    <w:p w:rsidR="00CF6782" w:rsidRPr="00CF6782" w:rsidRDefault="004D1956" w:rsidP="00CF6782">
      <w:pPr>
        <w:pStyle w:val="ListParagraph"/>
        <w:numPr>
          <w:ilvl w:val="0"/>
          <w:numId w:val="4"/>
        </w:numPr>
        <w:rPr>
          <w:sz w:val="24"/>
          <w:szCs w:val="24"/>
        </w:rPr>
      </w:pPr>
      <w:r w:rsidRPr="00CF6782">
        <w:rPr>
          <w:b/>
          <w:bCs/>
          <w:sz w:val="24"/>
          <w:szCs w:val="24"/>
          <w:u w:val="single"/>
        </w:rPr>
        <w:t xml:space="preserve">The </w:t>
      </w:r>
      <w:r w:rsidR="00CD3AFC" w:rsidRPr="00CF6782">
        <w:rPr>
          <w:b/>
          <w:bCs/>
          <w:sz w:val="24"/>
          <w:szCs w:val="24"/>
          <w:u w:val="single"/>
        </w:rPr>
        <w:t>R</w:t>
      </w:r>
      <w:r w:rsidRPr="00CF6782">
        <w:rPr>
          <w:b/>
          <w:bCs/>
          <w:sz w:val="24"/>
          <w:szCs w:val="24"/>
          <w:u w:val="single"/>
        </w:rPr>
        <w:t xml:space="preserve">eport </w:t>
      </w:r>
      <w:r w:rsidR="00CD3AFC" w:rsidRPr="00CF6782">
        <w:rPr>
          <w:b/>
          <w:bCs/>
          <w:sz w:val="24"/>
          <w:szCs w:val="24"/>
          <w:u w:val="single"/>
        </w:rPr>
        <w:t xml:space="preserve">likewise </w:t>
      </w:r>
      <w:r w:rsidRPr="00CF6782">
        <w:rPr>
          <w:b/>
          <w:bCs/>
          <w:sz w:val="24"/>
          <w:szCs w:val="24"/>
          <w:u w:val="single"/>
        </w:rPr>
        <w:t>shows a complete deficit of understanding of how legal frameworks interact with political economy</w:t>
      </w:r>
      <w:r w:rsidR="00D6403F">
        <w:rPr>
          <w:sz w:val="24"/>
          <w:szCs w:val="24"/>
        </w:rPr>
        <w:t>.</w:t>
      </w:r>
      <w:r w:rsidR="003514C5">
        <w:rPr>
          <w:sz w:val="24"/>
          <w:szCs w:val="24"/>
        </w:rPr>
        <w:t xml:space="preserve"> Perryman, citing the ILR, states on pages 5-6 that “the U.S. had the highest liability costs as a percentage of GDP among the advanced economies . . . [t]hese findings suggest that the resources consumed by the tort system in the US are well above the level required to maintain an efficient and productive economy.” That finding suggests no such thing. Besides different countries and regions possessing </w:t>
      </w:r>
      <w:r w:rsidR="00CF6782">
        <w:rPr>
          <w:sz w:val="24"/>
          <w:szCs w:val="24"/>
        </w:rPr>
        <w:t xml:space="preserve">legal frameworks that are derived from embedded values, histories, and </w:t>
      </w:r>
      <w:r w:rsidR="00CF6782">
        <w:rPr>
          <w:sz w:val="24"/>
          <w:szCs w:val="24"/>
        </w:rPr>
        <w:lastRenderedPageBreak/>
        <w:t xml:space="preserve">institutions, </w:t>
      </w:r>
      <w:r w:rsidR="00CF6782">
        <w:rPr>
          <w:i/>
          <w:iCs/>
          <w:sz w:val="24"/>
          <w:szCs w:val="24"/>
        </w:rPr>
        <w:t>all</w:t>
      </w:r>
      <w:r w:rsidR="00CF6782">
        <w:rPr>
          <w:sz w:val="24"/>
          <w:szCs w:val="24"/>
        </w:rPr>
        <w:t xml:space="preserve"> of those advanced economic areas possess marginally larger welfare states—i.e., socioeconomic “safety nets”—than does the United States. In the U.S., plaintiff’s litigation, particularly class actions, consistently acts as a kind of check on corporate interests that evolved differently in varied areas of the world. There is no reason to believe—at least not one based on ample evidence—that there exists some kind of optimal per capita global tort cost.</w:t>
      </w:r>
    </w:p>
    <w:p w:rsidR="00E51011" w:rsidRDefault="00E51011" w:rsidP="00E51011">
      <w:pPr>
        <w:pStyle w:val="ListParagraph"/>
        <w:rPr>
          <w:sz w:val="24"/>
          <w:szCs w:val="24"/>
        </w:rPr>
      </w:pPr>
    </w:p>
    <w:p w:rsidR="00E51011" w:rsidRDefault="00E51011" w:rsidP="004D1956">
      <w:pPr>
        <w:pStyle w:val="ListParagraph"/>
        <w:numPr>
          <w:ilvl w:val="0"/>
          <w:numId w:val="4"/>
        </w:numPr>
        <w:rPr>
          <w:sz w:val="24"/>
          <w:szCs w:val="24"/>
        </w:rPr>
      </w:pPr>
      <w:r>
        <w:rPr>
          <w:sz w:val="24"/>
          <w:szCs w:val="24"/>
        </w:rPr>
        <w:t xml:space="preserve">As for the “tort tax”: it seems that </w:t>
      </w:r>
      <w:r w:rsidR="00C665CF" w:rsidRPr="00D3528A">
        <w:rPr>
          <w:b/>
          <w:bCs/>
          <w:sz w:val="24"/>
          <w:szCs w:val="24"/>
          <w:u w:val="single"/>
        </w:rPr>
        <w:t xml:space="preserve">Perryman has just taken his own spurious $3.1 billion in GDP figure and </w:t>
      </w:r>
      <w:r w:rsidR="002F5E41" w:rsidRPr="00D3528A">
        <w:rPr>
          <w:b/>
          <w:bCs/>
          <w:sz w:val="24"/>
          <w:szCs w:val="24"/>
          <w:u w:val="single"/>
        </w:rPr>
        <w:t xml:space="preserve">simply </w:t>
      </w:r>
      <w:r w:rsidR="00C665CF" w:rsidRPr="00D3528A">
        <w:rPr>
          <w:b/>
          <w:bCs/>
          <w:sz w:val="24"/>
          <w:szCs w:val="24"/>
          <w:u w:val="single"/>
        </w:rPr>
        <w:t>divided it by Missouri’s population.</w:t>
      </w:r>
      <w:r w:rsidR="00FE0B03">
        <w:rPr>
          <w:sz w:val="24"/>
          <w:szCs w:val="24"/>
        </w:rPr>
        <w:t xml:space="preserve"> </w:t>
      </w:r>
    </w:p>
    <w:p w:rsidR="00882312" w:rsidRDefault="00882312" w:rsidP="00882312">
      <w:pPr>
        <w:pStyle w:val="ListParagraph"/>
        <w:rPr>
          <w:sz w:val="24"/>
          <w:szCs w:val="24"/>
        </w:rPr>
      </w:pPr>
    </w:p>
    <w:p w:rsidR="00185AC7" w:rsidRPr="00185AC7" w:rsidRDefault="00185AC7" w:rsidP="00185AC7">
      <w:pPr>
        <w:pStyle w:val="ListParagraph"/>
        <w:numPr>
          <w:ilvl w:val="0"/>
          <w:numId w:val="4"/>
        </w:numPr>
        <w:rPr>
          <w:sz w:val="24"/>
          <w:szCs w:val="24"/>
        </w:rPr>
      </w:pPr>
      <w:r>
        <w:rPr>
          <w:sz w:val="24"/>
          <w:szCs w:val="24"/>
        </w:rPr>
        <w:t xml:space="preserve">The states </w:t>
      </w:r>
      <w:r w:rsidR="005B5BBB">
        <w:rPr>
          <w:sz w:val="24"/>
          <w:szCs w:val="24"/>
        </w:rPr>
        <w:t xml:space="preserve">to which Perryman </w:t>
      </w:r>
      <w:r w:rsidR="00D50AE1">
        <w:rPr>
          <w:sz w:val="24"/>
          <w:szCs w:val="24"/>
        </w:rPr>
        <w:t xml:space="preserve">apparently </w:t>
      </w:r>
      <w:r w:rsidR="005B5BBB">
        <w:rPr>
          <w:sz w:val="24"/>
          <w:szCs w:val="24"/>
        </w:rPr>
        <w:t>farmed out his</w:t>
      </w:r>
      <w:r w:rsidR="00D50AE1">
        <w:rPr>
          <w:sz w:val="24"/>
          <w:szCs w:val="24"/>
        </w:rPr>
        <w:t xml:space="preserve"> reports (at page 9)</w:t>
      </w:r>
      <w:r>
        <w:rPr>
          <w:sz w:val="24"/>
          <w:szCs w:val="24"/>
        </w:rPr>
        <w:t>—</w:t>
      </w:r>
      <w:r w:rsidRPr="00882312">
        <w:rPr>
          <w:b/>
          <w:bCs/>
          <w:sz w:val="24"/>
          <w:szCs w:val="24"/>
          <w:u w:val="single"/>
        </w:rPr>
        <w:t>Alabama, Mississippi, West Virginia, Arkansas, and Texas</w:t>
      </w:r>
      <w:r>
        <w:rPr>
          <w:sz w:val="24"/>
          <w:szCs w:val="24"/>
        </w:rPr>
        <w:t>—</w:t>
      </w:r>
      <w:r w:rsidR="00120B25">
        <w:rPr>
          <w:sz w:val="24"/>
          <w:szCs w:val="24"/>
        </w:rPr>
        <w:t>further expose Perryman as little more than a regional shill for hire</w:t>
      </w:r>
      <w:r w:rsidR="00882312">
        <w:rPr>
          <w:sz w:val="24"/>
          <w:szCs w:val="24"/>
        </w:rPr>
        <w:t xml:space="preserve">. </w:t>
      </w:r>
      <w:r w:rsidR="00AA1626">
        <w:rPr>
          <w:sz w:val="24"/>
          <w:szCs w:val="24"/>
        </w:rPr>
        <w:t>These include four of the six poorest states in the country</w:t>
      </w:r>
      <w:r w:rsidR="009623ED">
        <w:rPr>
          <w:sz w:val="24"/>
          <w:szCs w:val="24"/>
        </w:rPr>
        <w:t xml:space="preserve"> and not one of them is known as plaintiff-friendly. </w:t>
      </w:r>
    </w:p>
    <w:p w:rsidR="004223D9" w:rsidRDefault="004223D9" w:rsidP="004223D9">
      <w:pPr>
        <w:pStyle w:val="ListParagraph"/>
        <w:rPr>
          <w:sz w:val="24"/>
          <w:szCs w:val="24"/>
        </w:rPr>
      </w:pPr>
    </w:p>
    <w:p w:rsidR="003B22FF" w:rsidRDefault="003B22FF" w:rsidP="004D1956">
      <w:pPr>
        <w:pStyle w:val="ListParagraph"/>
        <w:numPr>
          <w:ilvl w:val="0"/>
          <w:numId w:val="4"/>
        </w:numPr>
        <w:rPr>
          <w:sz w:val="24"/>
          <w:szCs w:val="24"/>
        </w:rPr>
      </w:pPr>
      <w:r>
        <w:rPr>
          <w:sz w:val="24"/>
          <w:szCs w:val="24"/>
        </w:rPr>
        <w:t xml:space="preserve">Perryman is most evidently not a lawyer </w:t>
      </w:r>
      <w:r w:rsidR="004223D9">
        <w:rPr>
          <w:sz w:val="24"/>
          <w:szCs w:val="24"/>
        </w:rPr>
        <w:t xml:space="preserve">and the </w:t>
      </w:r>
      <w:r w:rsidR="00D50AE1">
        <w:rPr>
          <w:sz w:val="24"/>
          <w:szCs w:val="24"/>
        </w:rPr>
        <w:t>R</w:t>
      </w:r>
      <w:r w:rsidR="004223D9">
        <w:rPr>
          <w:sz w:val="24"/>
          <w:szCs w:val="24"/>
        </w:rPr>
        <w:t xml:space="preserve">eport’s </w:t>
      </w:r>
      <w:r w:rsidR="004223D9" w:rsidRPr="00CF6782">
        <w:rPr>
          <w:b/>
          <w:bCs/>
          <w:sz w:val="24"/>
          <w:szCs w:val="24"/>
          <w:u w:val="single"/>
        </w:rPr>
        <w:t xml:space="preserve">inability </w:t>
      </w:r>
      <w:r w:rsidR="00E96462" w:rsidRPr="00CF6782">
        <w:rPr>
          <w:b/>
          <w:bCs/>
          <w:sz w:val="24"/>
          <w:szCs w:val="24"/>
          <w:u w:val="single"/>
        </w:rPr>
        <w:t>to distinguish between</w:t>
      </w:r>
      <w:r w:rsidR="0041258E" w:rsidRPr="00CF6782">
        <w:rPr>
          <w:b/>
          <w:bCs/>
          <w:sz w:val="24"/>
          <w:szCs w:val="24"/>
          <w:u w:val="single"/>
        </w:rPr>
        <w:t>, for example,</w:t>
      </w:r>
      <w:r w:rsidR="00E96462" w:rsidRPr="00CF6782">
        <w:rPr>
          <w:b/>
          <w:bCs/>
          <w:sz w:val="24"/>
          <w:szCs w:val="24"/>
          <w:u w:val="single"/>
        </w:rPr>
        <w:t xml:space="preserve"> federal versus state frameworks </w:t>
      </w:r>
      <w:r w:rsidR="00882312" w:rsidRPr="00CF6782">
        <w:rPr>
          <w:b/>
          <w:bCs/>
          <w:sz w:val="24"/>
          <w:szCs w:val="24"/>
          <w:u w:val="single"/>
        </w:rPr>
        <w:t xml:space="preserve">across </w:t>
      </w:r>
      <w:r w:rsidR="0041258E" w:rsidRPr="00CF6782">
        <w:rPr>
          <w:b/>
          <w:bCs/>
          <w:sz w:val="24"/>
          <w:szCs w:val="24"/>
          <w:u w:val="single"/>
        </w:rPr>
        <w:t>causes of action and lawsuit outcomes</w:t>
      </w:r>
      <w:r w:rsidR="00D50AE1" w:rsidRPr="00CF6782">
        <w:rPr>
          <w:b/>
          <w:bCs/>
          <w:sz w:val="24"/>
          <w:szCs w:val="24"/>
          <w:u w:val="single"/>
        </w:rPr>
        <w:t xml:space="preserve">, punitive judgment standards, </w:t>
      </w:r>
      <w:r w:rsidR="00CF6782" w:rsidRPr="00CF6782">
        <w:rPr>
          <w:b/>
          <w:bCs/>
          <w:sz w:val="24"/>
          <w:szCs w:val="24"/>
          <w:u w:val="single"/>
        </w:rPr>
        <w:t xml:space="preserve">or medical malpractice versus product liability versus consumer litigation </w:t>
      </w:r>
      <w:r w:rsidR="00D50AE1" w:rsidRPr="00CF6782">
        <w:rPr>
          <w:b/>
          <w:bCs/>
          <w:sz w:val="24"/>
          <w:szCs w:val="24"/>
          <w:u w:val="single"/>
        </w:rPr>
        <w:t xml:space="preserve">further weakens </w:t>
      </w:r>
      <w:r w:rsidR="00CF6782" w:rsidRPr="00CF6782">
        <w:rPr>
          <w:b/>
          <w:bCs/>
          <w:sz w:val="24"/>
          <w:szCs w:val="24"/>
          <w:u w:val="single"/>
        </w:rPr>
        <w:t>what was already a shockingly weak paper</w:t>
      </w:r>
      <w:r w:rsidR="00CF6782">
        <w:rPr>
          <w:sz w:val="24"/>
          <w:szCs w:val="24"/>
        </w:rPr>
        <w:t>.</w:t>
      </w:r>
    </w:p>
    <w:p w:rsidR="00AA0D2A" w:rsidRDefault="00AA0D2A" w:rsidP="00AA0D2A">
      <w:pPr>
        <w:pStyle w:val="ListParagraph"/>
        <w:rPr>
          <w:sz w:val="24"/>
          <w:szCs w:val="24"/>
        </w:rPr>
      </w:pPr>
    </w:p>
    <w:p w:rsidR="00AA0D2A" w:rsidRDefault="00AA0D2A" w:rsidP="004D1956">
      <w:pPr>
        <w:pStyle w:val="ListParagraph"/>
        <w:numPr>
          <w:ilvl w:val="0"/>
          <w:numId w:val="4"/>
        </w:numPr>
        <w:rPr>
          <w:sz w:val="24"/>
          <w:szCs w:val="24"/>
        </w:rPr>
      </w:pPr>
      <w:r>
        <w:rPr>
          <w:sz w:val="24"/>
          <w:szCs w:val="24"/>
        </w:rPr>
        <w:t xml:space="preserve">Perryman’s claim (at p. 21) that his regional model is “extensively used by scores of federal and state governmental entities on an ongoing basis, as well as hundreds of corporations” is </w:t>
      </w:r>
      <w:r w:rsidRPr="00AA0D2A">
        <w:rPr>
          <w:b/>
          <w:bCs/>
          <w:sz w:val="24"/>
          <w:szCs w:val="24"/>
          <w:u w:val="single"/>
        </w:rPr>
        <w:t xml:space="preserve">almost certainly nothing more than another self-promoting </w:t>
      </w:r>
      <w:r w:rsidR="001019D5">
        <w:rPr>
          <w:b/>
          <w:bCs/>
          <w:sz w:val="24"/>
          <w:szCs w:val="24"/>
          <w:u w:val="single"/>
        </w:rPr>
        <w:t>misrepresentation</w:t>
      </w:r>
      <w:r>
        <w:rPr>
          <w:sz w:val="24"/>
          <w:szCs w:val="24"/>
        </w:rPr>
        <w:t>.</w:t>
      </w:r>
    </w:p>
    <w:p w:rsidR="005B5BBB" w:rsidRDefault="005B5BBB" w:rsidP="005B5BBB">
      <w:pPr>
        <w:pStyle w:val="ListParagraph"/>
        <w:rPr>
          <w:sz w:val="24"/>
          <w:szCs w:val="24"/>
        </w:rPr>
      </w:pPr>
    </w:p>
    <w:p w:rsidR="00F43183" w:rsidRPr="00CF6782" w:rsidRDefault="005B5BBB" w:rsidP="00CF6782">
      <w:pPr>
        <w:pStyle w:val="ListParagraph"/>
        <w:numPr>
          <w:ilvl w:val="0"/>
          <w:numId w:val="4"/>
        </w:numPr>
        <w:rPr>
          <w:sz w:val="24"/>
          <w:szCs w:val="24"/>
        </w:rPr>
      </w:pPr>
      <w:r>
        <w:rPr>
          <w:sz w:val="24"/>
          <w:szCs w:val="24"/>
        </w:rPr>
        <w:t xml:space="preserve">Generally, </w:t>
      </w:r>
      <w:r w:rsidR="007F01F0">
        <w:rPr>
          <w:sz w:val="24"/>
          <w:szCs w:val="24"/>
        </w:rPr>
        <w:t xml:space="preserve">one is hard-pressed to find </w:t>
      </w:r>
      <w:r w:rsidR="007F01F0">
        <w:rPr>
          <w:i/>
          <w:iCs/>
          <w:sz w:val="24"/>
          <w:szCs w:val="24"/>
        </w:rPr>
        <w:t>any</w:t>
      </w:r>
      <w:r w:rsidR="007F01F0">
        <w:rPr>
          <w:sz w:val="24"/>
          <w:szCs w:val="24"/>
        </w:rPr>
        <w:t xml:space="preserve"> work </w:t>
      </w:r>
      <w:r w:rsidR="00CF6782">
        <w:rPr>
          <w:sz w:val="24"/>
          <w:szCs w:val="24"/>
        </w:rPr>
        <w:t xml:space="preserve">by Perryman in an actual academic journal; rather, he cites largely to himself. </w:t>
      </w:r>
      <w:r w:rsidR="005514D7" w:rsidRPr="00CF6782">
        <w:rPr>
          <w:sz w:val="24"/>
          <w:szCs w:val="24"/>
        </w:rPr>
        <w:t xml:space="preserve"> </w:t>
      </w:r>
    </w:p>
    <w:p w:rsidR="00BD6B2E" w:rsidRDefault="00BD6B2E" w:rsidP="00A83D60">
      <w:pPr>
        <w:spacing w:line="360" w:lineRule="auto"/>
        <w:rPr>
          <w:sz w:val="24"/>
          <w:szCs w:val="24"/>
        </w:rPr>
      </w:pPr>
    </w:p>
    <w:p w:rsidR="00DF3B7E" w:rsidRDefault="00A35380" w:rsidP="00CF6782">
      <w:pPr>
        <w:spacing w:line="480" w:lineRule="auto"/>
        <w:ind w:firstLine="720"/>
        <w:rPr>
          <w:sz w:val="24"/>
          <w:szCs w:val="24"/>
        </w:rPr>
      </w:pPr>
      <w:r w:rsidRPr="007B69E3">
        <w:rPr>
          <w:b/>
          <w:bCs/>
          <w:sz w:val="24"/>
          <w:szCs w:val="24"/>
          <w:u w:val="single"/>
        </w:rPr>
        <w:t xml:space="preserve">In short, the Perryman report is a house of cards built on self-referencing sand; its conclusions </w:t>
      </w:r>
      <w:r w:rsidR="00DF3B7E">
        <w:rPr>
          <w:b/>
          <w:bCs/>
          <w:sz w:val="24"/>
          <w:szCs w:val="24"/>
          <w:u w:val="single"/>
        </w:rPr>
        <w:t xml:space="preserve">are borderline worthless and </w:t>
      </w:r>
      <w:r w:rsidRPr="007B69E3">
        <w:rPr>
          <w:b/>
          <w:bCs/>
          <w:sz w:val="24"/>
          <w:szCs w:val="24"/>
          <w:u w:val="single"/>
        </w:rPr>
        <w:t>cannot withstand even moderate scrutiny without far more explanation</w:t>
      </w:r>
      <w:r>
        <w:rPr>
          <w:sz w:val="24"/>
          <w:szCs w:val="24"/>
        </w:rPr>
        <w:t>.</w:t>
      </w:r>
      <w:r w:rsidR="00DF3B7E">
        <w:rPr>
          <w:sz w:val="24"/>
          <w:szCs w:val="24"/>
        </w:rPr>
        <w:t xml:space="preserve"> </w:t>
      </w:r>
      <w:r w:rsidR="007918DC">
        <w:rPr>
          <w:sz w:val="24"/>
          <w:szCs w:val="24"/>
        </w:rPr>
        <w:t xml:space="preserve">In sum, given that Perryman’s work is so </w:t>
      </w:r>
      <w:r w:rsidR="007A02F8">
        <w:rPr>
          <w:sz w:val="24"/>
          <w:szCs w:val="24"/>
        </w:rPr>
        <w:t xml:space="preserve">overtly </w:t>
      </w:r>
      <w:r w:rsidR="007918DC">
        <w:rPr>
          <w:sz w:val="24"/>
          <w:szCs w:val="24"/>
        </w:rPr>
        <w:t>unsubstantiated</w:t>
      </w:r>
      <w:r w:rsidR="007A02F8">
        <w:rPr>
          <w:sz w:val="24"/>
          <w:szCs w:val="24"/>
        </w:rPr>
        <w:t xml:space="preserve">, deceptive, and shoddy, </w:t>
      </w:r>
      <w:r w:rsidR="00A46512">
        <w:rPr>
          <w:sz w:val="24"/>
          <w:szCs w:val="24"/>
        </w:rPr>
        <w:t xml:space="preserve">the important question really is: </w:t>
      </w:r>
    </w:p>
    <w:p w:rsidR="00DF3B7E" w:rsidRDefault="00DF3B7E" w:rsidP="00A83D60">
      <w:pPr>
        <w:spacing w:line="360" w:lineRule="auto"/>
        <w:rPr>
          <w:sz w:val="24"/>
          <w:szCs w:val="24"/>
        </w:rPr>
      </w:pPr>
    </w:p>
    <w:p w:rsidR="00BD6B2E" w:rsidRPr="003514C5" w:rsidRDefault="00A46512" w:rsidP="00DF3B7E">
      <w:pPr>
        <w:spacing w:line="360" w:lineRule="auto"/>
        <w:jc w:val="center"/>
        <w:rPr>
          <w:sz w:val="36"/>
          <w:szCs w:val="36"/>
        </w:rPr>
      </w:pPr>
      <w:r w:rsidRPr="003514C5">
        <w:rPr>
          <w:b/>
          <w:bCs/>
          <w:i/>
          <w:iCs/>
          <w:sz w:val="36"/>
          <w:szCs w:val="36"/>
          <w:u w:val="single"/>
        </w:rPr>
        <w:t xml:space="preserve">WHO </w:t>
      </w:r>
      <w:r w:rsidRPr="003514C5">
        <w:rPr>
          <w:b/>
          <w:bCs/>
          <w:sz w:val="36"/>
          <w:szCs w:val="36"/>
          <w:u w:val="single"/>
        </w:rPr>
        <w:t xml:space="preserve">PAID FOR THIS </w:t>
      </w:r>
      <w:r w:rsidR="00B35078">
        <w:rPr>
          <w:b/>
          <w:bCs/>
          <w:sz w:val="36"/>
          <w:szCs w:val="36"/>
          <w:u w:val="single"/>
        </w:rPr>
        <w:t>“</w:t>
      </w:r>
      <w:r w:rsidRPr="003514C5">
        <w:rPr>
          <w:b/>
          <w:bCs/>
          <w:sz w:val="36"/>
          <w:szCs w:val="36"/>
          <w:u w:val="single"/>
        </w:rPr>
        <w:t>REPORT</w:t>
      </w:r>
      <w:r w:rsidR="00B35078">
        <w:rPr>
          <w:b/>
          <w:bCs/>
          <w:sz w:val="36"/>
          <w:szCs w:val="36"/>
          <w:u w:val="single"/>
        </w:rPr>
        <w:t>”</w:t>
      </w:r>
      <w:r w:rsidRPr="003514C5">
        <w:rPr>
          <w:b/>
          <w:bCs/>
          <w:sz w:val="36"/>
          <w:szCs w:val="36"/>
          <w:u w:val="single"/>
        </w:rPr>
        <w:t xml:space="preserve"> AND WHY?</w:t>
      </w:r>
    </w:p>
    <w:p w:rsidR="00BD6B2E" w:rsidRDefault="00BD6B2E" w:rsidP="00A83D60">
      <w:pPr>
        <w:spacing w:line="360" w:lineRule="auto"/>
        <w:rPr>
          <w:sz w:val="24"/>
          <w:szCs w:val="24"/>
        </w:rPr>
      </w:pPr>
    </w:p>
    <w:p w:rsidR="00BD6B2E" w:rsidRPr="00684B8F" w:rsidRDefault="00BD6B2E" w:rsidP="00A83D60">
      <w:pPr>
        <w:spacing w:line="360" w:lineRule="auto"/>
        <w:rPr>
          <w:sz w:val="24"/>
          <w:szCs w:val="24"/>
        </w:rPr>
      </w:pPr>
    </w:p>
    <w:sectPr w:rsidR="00BD6B2E" w:rsidRPr="00684B8F" w:rsidSect="000F2A2D">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672" w:rsidRDefault="00EF1672" w:rsidP="00D0245F">
      <w:r>
        <w:separator/>
      </w:r>
    </w:p>
  </w:endnote>
  <w:endnote w:type="continuationSeparator" w:id="0">
    <w:p w:rsidR="00EF1672" w:rsidRDefault="00EF1672" w:rsidP="00D02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5421146"/>
      <w:docPartObj>
        <w:docPartGallery w:val="Page Numbers (Bottom of Page)"/>
        <w:docPartUnique/>
      </w:docPartObj>
    </w:sdtPr>
    <w:sdtEndPr>
      <w:rPr>
        <w:rStyle w:val="PageNumber"/>
      </w:rPr>
    </w:sdtEndPr>
    <w:sdtContent>
      <w:p w:rsidR="00A424DC" w:rsidRDefault="00A424DC" w:rsidP="00A424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424DC" w:rsidRDefault="00A424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9882659"/>
      <w:docPartObj>
        <w:docPartGallery w:val="Page Numbers (Bottom of Page)"/>
        <w:docPartUnique/>
      </w:docPartObj>
    </w:sdtPr>
    <w:sdtEndPr>
      <w:rPr>
        <w:rStyle w:val="PageNumber"/>
      </w:rPr>
    </w:sdtEndPr>
    <w:sdtContent>
      <w:p w:rsidR="00A424DC" w:rsidRDefault="00A424DC" w:rsidP="00A424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424DC" w:rsidRDefault="00A42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672" w:rsidRDefault="00EF1672" w:rsidP="00D0245F">
      <w:r>
        <w:separator/>
      </w:r>
    </w:p>
  </w:footnote>
  <w:footnote w:type="continuationSeparator" w:id="0">
    <w:p w:rsidR="00EF1672" w:rsidRDefault="00EF1672" w:rsidP="00D0245F">
      <w:r>
        <w:continuationSeparator/>
      </w:r>
    </w:p>
  </w:footnote>
  <w:footnote w:id="1">
    <w:p w:rsidR="00A424DC" w:rsidRPr="004801CC" w:rsidRDefault="00A424DC">
      <w:pPr>
        <w:pStyle w:val="FootnoteText"/>
        <w:rPr>
          <w:sz w:val="24"/>
          <w:szCs w:val="24"/>
        </w:rPr>
      </w:pPr>
      <w:r w:rsidRPr="004801CC">
        <w:rPr>
          <w:rStyle w:val="FootnoteReference"/>
          <w:sz w:val="24"/>
          <w:szCs w:val="24"/>
        </w:rPr>
        <w:footnoteRef/>
      </w:r>
      <w:r w:rsidRPr="004801CC">
        <w:rPr>
          <w:sz w:val="24"/>
          <w:szCs w:val="24"/>
        </w:rPr>
        <w:t xml:space="preserve"> Andrew Taylor is an attorney at Bell Law, LLC in Kansas City, Mo. He is a graduate of the University of Kansas (B.A. and M.A. in Economics), Brown University (M.A. in Development Studies), the London School of Economics (M.Sc. in International Political Economy) and Tulane Law School (J.D. with a certificate in Environmental Law). </w:t>
      </w:r>
    </w:p>
  </w:footnote>
  <w:footnote w:id="2">
    <w:p w:rsidR="00A424DC" w:rsidRPr="008B589B" w:rsidRDefault="00A424DC">
      <w:pPr>
        <w:pStyle w:val="FootnoteText"/>
        <w:rPr>
          <w:sz w:val="24"/>
          <w:szCs w:val="24"/>
        </w:rPr>
      </w:pPr>
      <w:r w:rsidRPr="00961622">
        <w:rPr>
          <w:rStyle w:val="FootnoteReference"/>
          <w:sz w:val="24"/>
          <w:szCs w:val="24"/>
        </w:rPr>
        <w:footnoteRef/>
      </w:r>
      <w:r w:rsidRPr="00961622">
        <w:rPr>
          <w:sz w:val="24"/>
          <w:szCs w:val="24"/>
        </w:rPr>
        <w:t xml:space="preserve"> </w:t>
      </w:r>
      <w:r w:rsidRPr="00961622">
        <w:rPr>
          <w:i/>
          <w:sz w:val="24"/>
          <w:szCs w:val="24"/>
        </w:rPr>
        <w:t xml:space="preserve">See </w:t>
      </w:r>
      <w:r w:rsidRPr="00961622">
        <w:rPr>
          <w:sz w:val="24"/>
          <w:szCs w:val="24"/>
        </w:rPr>
        <w:t xml:space="preserve">Mo. Rev. Stat. § 407.010 </w:t>
      </w:r>
      <w:r w:rsidRPr="00961622">
        <w:rPr>
          <w:i/>
          <w:sz w:val="24"/>
          <w:szCs w:val="24"/>
        </w:rPr>
        <w:t>et seq</w:t>
      </w:r>
      <w:r>
        <w:rPr>
          <w:sz w:val="24"/>
          <w:szCs w:val="24"/>
        </w:rPr>
        <w:t xml:space="preserve">., </w:t>
      </w:r>
      <w:hyperlink r:id="rId1" w:history="1">
        <w:r w:rsidRPr="00F36119">
          <w:rPr>
            <w:rStyle w:val="Hyperlink"/>
            <w:sz w:val="24"/>
            <w:szCs w:val="24"/>
          </w:rPr>
          <w:t>http://revisor.mo.gov/main/ViewChapter.aspx?chapter=407</w:t>
        </w:r>
      </w:hyperlink>
      <w:r>
        <w:rPr>
          <w:sz w:val="24"/>
          <w:szCs w:val="24"/>
        </w:rPr>
        <w:t xml:space="preserve">. </w:t>
      </w:r>
    </w:p>
  </w:footnote>
  <w:footnote w:id="3">
    <w:p w:rsidR="00A424DC" w:rsidRPr="00961622" w:rsidRDefault="00A424DC">
      <w:pPr>
        <w:pStyle w:val="FootnoteText"/>
        <w:rPr>
          <w:sz w:val="24"/>
          <w:szCs w:val="24"/>
        </w:rPr>
      </w:pPr>
      <w:r w:rsidRPr="00961622">
        <w:rPr>
          <w:rStyle w:val="FootnoteReference"/>
          <w:sz w:val="24"/>
          <w:szCs w:val="24"/>
        </w:rPr>
        <w:footnoteRef/>
      </w:r>
      <w:r w:rsidRPr="00961622">
        <w:rPr>
          <w:sz w:val="24"/>
          <w:szCs w:val="24"/>
        </w:rPr>
        <w:t xml:space="preserve"> </w:t>
      </w:r>
      <w:r w:rsidRPr="00961622">
        <w:rPr>
          <w:i/>
          <w:sz w:val="24"/>
          <w:szCs w:val="24"/>
        </w:rPr>
        <w:t>See</w:t>
      </w:r>
      <w:r>
        <w:rPr>
          <w:i/>
          <w:sz w:val="24"/>
          <w:szCs w:val="24"/>
        </w:rPr>
        <w:t>, e.g.,</w:t>
      </w:r>
      <w:r w:rsidRPr="00961622">
        <w:rPr>
          <w:sz w:val="24"/>
          <w:szCs w:val="24"/>
        </w:rPr>
        <w:t xml:space="preserve"> Webster et al., </w:t>
      </w:r>
      <w:r w:rsidRPr="00961622">
        <w:rPr>
          <w:i/>
          <w:sz w:val="24"/>
          <w:szCs w:val="24"/>
        </w:rPr>
        <w:t>Combatting Consumer Fraud in Missouri: The Development of Missouri’s Merchandising Practices Act</w:t>
      </w:r>
      <w:r w:rsidRPr="00961622">
        <w:rPr>
          <w:sz w:val="24"/>
          <w:szCs w:val="24"/>
        </w:rPr>
        <w:t xml:space="preserve">, 52 </w:t>
      </w:r>
      <w:r w:rsidRPr="00961622">
        <w:rPr>
          <w:smallCaps/>
          <w:sz w:val="24"/>
          <w:szCs w:val="24"/>
        </w:rPr>
        <w:t>Mo. L. Rev.</w:t>
      </w:r>
      <w:r w:rsidRPr="00961622">
        <w:rPr>
          <w:sz w:val="24"/>
          <w:szCs w:val="24"/>
        </w:rPr>
        <w:t xml:space="preserve"> 365, 367 (1987). </w:t>
      </w:r>
    </w:p>
  </w:footnote>
  <w:footnote w:id="4">
    <w:p w:rsidR="00A424DC" w:rsidRPr="00961622" w:rsidRDefault="00A424DC">
      <w:pPr>
        <w:pStyle w:val="FootnoteText"/>
        <w:rPr>
          <w:sz w:val="24"/>
          <w:szCs w:val="24"/>
        </w:rPr>
      </w:pPr>
      <w:r w:rsidRPr="00961622">
        <w:rPr>
          <w:rStyle w:val="FootnoteReference"/>
          <w:sz w:val="24"/>
          <w:szCs w:val="24"/>
        </w:rPr>
        <w:footnoteRef/>
      </w:r>
      <w:r w:rsidRPr="00961622">
        <w:rPr>
          <w:sz w:val="24"/>
          <w:szCs w:val="24"/>
        </w:rPr>
        <w:t xml:space="preserve"> </w:t>
      </w:r>
      <w:r>
        <w:rPr>
          <w:i/>
          <w:sz w:val="24"/>
          <w:szCs w:val="24"/>
        </w:rPr>
        <w:t>See, e.g.,</w:t>
      </w:r>
      <w:r w:rsidRPr="00961622">
        <w:rPr>
          <w:i/>
          <w:sz w:val="24"/>
          <w:szCs w:val="24"/>
        </w:rPr>
        <w:t xml:space="preserve"> id.</w:t>
      </w:r>
      <w:r w:rsidRPr="00961622">
        <w:rPr>
          <w:sz w:val="24"/>
          <w:szCs w:val="24"/>
        </w:rPr>
        <w:t xml:space="preserve"> at </w:t>
      </w:r>
      <w:r>
        <w:rPr>
          <w:sz w:val="24"/>
          <w:szCs w:val="24"/>
        </w:rPr>
        <w:t xml:space="preserve">367-68. </w:t>
      </w:r>
    </w:p>
  </w:footnote>
  <w:footnote w:id="5">
    <w:p w:rsidR="00A424DC" w:rsidRPr="00E72A3C" w:rsidRDefault="00A424DC">
      <w:pPr>
        <w:pStyle w:val="FootnoteText"/>
        <w:rPr>
          <w:sz w:val="24"/>
          <w:szCs w:val="24"/>
        </w:rPr>
      </w:pPr>
      <w:r w:rsidRPr="00E72A3C">
        <w:rPr>
          <w:rStyle w:val="FootnoteReference"/>
          <w:sz w:val="24"/>
          <w:szCs w:val="24"/>
        </w:rPr>
        <w:footnoteRef/>
      </w:r>
      <w:r w:rsidRPr="00E72A3C">
        <w:rPr>
          <w:sz w:val="24"/>
          <w:szCs w:val="24"/>
        </w:rPr>
        <w:t xml:space="preserve"> </w:t>
      </w:r>
      <w:r w:rsidRPr="00E72A3C">
        <w:rPr>
          <w:i/>
          <w:sz w:val="24"/>
          <w:szCs w:val="24"/>
        </w:rPr>
        <w:t>See</w:t>
      </w:r>
      <w:r w:rsidRPr="00E72A3C">
        <w:rPr>
          <w:sz w:val="24"/>
          <w:szCs w:val="24"/>
        </w:rPr>
        <w:t xml:space="preserve"> Mo. Rev. Stat. § 407.010 </w:t>
      </w:r>
      <w:r w:rsidRPr="00E72A3C">
        <w:rPr>
          <w:i/>
          <w:sz w:val="24"/>
          <w:szCs w:val="24"/>
        </w:rPr>
        <w:t>et seq.</w:t>
      </w:r>
      <w:r w:rsidRPr="00E72A3C">
        <w:rPr>
          <w:sz w:val="24"/>
          <w:szCs w:val="24"/>
        </w:rPr>
        <w:t xml:space="preserve"> (Supp. 1967). </w:t>
      </w:r>
    </w:p>
  </w:footnote>
  <w:footnote w:id="6">
    <w:p w:rsidR="00A424DC" w:rsidRPr="00E72A3C" w:rsidRDefault="00A424DC">
      <w:pPr>
        <w:pStyle w:val="FootnoteText"/>
        <w:rPr>
          <w:sz w:val="24"/>
          <w:szCs w:val="24"/>
        </w:rPr>
      </w:pPr>
      <w:r w:rsidRPr="00E72A3C">
        <w:rPr>
          <w:rStyle w:val="FootnoteReference"/>
          <w:sz w:val="24"/>
          <w:szCs w:val="24"/>
        </w:rPr>
        <w:footnoteRef/>
      </w:r>
      <w:r w:rsidRPr="00E72A3C">
        <w:rPr>
          <w:sz w:val="24"/>
          <w:szCs w:val="24"/>
        </w:rPr>
        <w:t xml:space="preserve"> </w:t>
      </w:r>
      <w:r w:rsidRPr="00E72A3C">
        <w:rPr>
          <w:i/>
          <w:sz w:val="24"/>
          <w:szCs w:val="24"/>
        </w:rPr>
        <w:t xml:space="preserve">See id. </w:t>
      </w:r>
    </w:p>
  </w:footnote>
  <w:footnote w:id="7">
    <w:p w:rsidR="00A424DC" w:rsidRPr="00E72A3C" w:rsidRDefault="00A424DC">
      <w:pPr>
        <w:pStyle w:val="FootnoteText"/>
        <w:rPr>
          <w:sz w:val="24"/>
          <w:szCs w:val="24"/>
        </w:rPr>
      </w:pPr>
      <w:r w:rsidRPr="00E72A3C">
        <w:rPr>
          <w:rStyle w:val="FootnoteReference"/>
          <w:sz w:val="24"/>
          <w:szCs w:val="24"/>
        </w:rPr>
        <w:footnoteRef/>
      </w:r>
      <w:r w:rsidRPr="00E72A3C">
        <w:rPr>
          <w:sz w:val="24"/>
          <w:szCs w:val="24"/>
        </w:rPr>
        <w:t xml:space="preserve"> </w:t>
      </w:r>
      <w:r w:rsidRPr="00E72A3C">
        <w:rPr>
          <w:i/>
          <w:sz w:val="24"/>
          <w:szCs w:val="24"/>
        </w:rPr>
        <w:t>See</w:t>
      </w:r>
      <w:r w:rsidRPr="00E72A3C">
        <w:rPr>
          <w:sz w:val="24"/>
          <w:szCs w:val="24"/>
        </w:rPr>
        <w:t xml:space="preserve"> </w:t>
      </w:r>
      <w:r w:rsidRPr="00E72A3C">
        <w:rPr>
          <w:i/>
          <w:sz w:val="24"/>
          <w:szCs w:val="24"/>
        </w:rPr>
        <w:t xml:space="preserve">See </w:t>
      </w:r>
      <w:r>
        <w:rPr>
          <w:sz w:val="24"/>
          <w:szCs w:val="24"/>
        </w:rPr>
        <w:t>Mo. Rev. Stat. § 407.020(2)</w:t>
      </w:r>
      <w:r w:rsidRPr="00E72A3C">
        <w:rPr>
          <w:sz w:val="24"/>
          <w:szCs w:val="24"/>
        </w:rPr>
        <w:t xml:space="preserve">, </w:t>
      </w:r>
      <w:r w:rsidRPr="00E72A3C">
        <w:rPr>
          <w:i/>
          <w:sz w:val="24"/>
          <w:szCs w:val="24"/>
        </w:rPr>
        <w:t>supra</w:t>
      </w:r>
      <w:r w:rsidRPr="00E72A3C">
        <w:rPr>
          <w:sz w:val="24"/>
          <w:szCs w:val="24"/>
        </w:rPr>
        <w:t xml:space="preserve"> note 1. </w:t>
      </w:r>
    </w:p>
  </w:footnote>
  <w:footnote w:id="8">
    <w:p w:rsidR="00A424DC" w:rsidRPr="00E72A3C" w:rsidRDefault="00A424DC">
      <w:pPr>
        <w:pStyle w:val="FootnoteText"/>
        <w:rPr>
          <w:sz w:val="24"/>
          <w:szCs w:val="24"/>
        </w:rPr>
      </w:pPr>
      <w:r w:rsidRPr="00E72A3C">
        <w:rPr>
          <w:rStyle w:val="FootnoteReference"/>
          <w:sz w:val="24"/>
          <w:szCs w:val="24"/>
        </w:rPr>
        <w:footnoteRef/>
      </w:r>
      <w:r w:rsidRPr="00E72A3C">
        <w:rPr>
          <w:sz w:val="24"/>
          <w:szCs w:val="24"/>
        </w:rPr>
        <w:t xml:space="preserve"> </w:t>
      </w:r>
      <w:r w:rsidRPr="00E72A3C">
        <w:rPr>
          <w:i/>
          <w:sz w:val="24"/>
          <w:szCs w:val="24"/>
        </w:rPr>
        <w:t>See</w:t>
      </w:r>
      <w:r w:rsidRPr="00E72A3C">
        <w:rPr>
          <w:sz w:val="24"/>
          <w:szCs w:val="24"/>
        </w:rPr>
        <w:t xml:space="preserve"> Mo. Rev. Stat. § 407.025</w:t>
      </w:r>
      <w:r>
        <w:rPr>
          <w:sz w:val="24"/>
          <w:szCs w:val="24"/>
        </w:rPr>
        <w:t>(1)-(2)</w:t>
      </w:r>
      <w:r w:rsidRPr="00E72A3C">
        <w:rPr>
          <w:sz w:val="24"/>
          <w:szCs w:val="24"/>
        </w:rPr>
        <w:t xml:space="preserve"> (Supp. 1973). </w:t>
      </w:r>
    </w:p>
  </w:footnote>
  <w:footnote w:id="9">
    <w:p w:rsidR="00A424DC" w:rsidRPr="00E72A3C" w:rsidRDefault="00A424DC">
      <w:pPr>
        <w:pStyle w:val="FootnoteText"/>
        <w:rPr>
          <w:sz w:val="24"/>
          <w:szCs w:val="24"/>
        </w:rPr>
      </w:pPr>
      <w:r w:rsidRPr="00E72A3C">
        <w:rPr>
          <w:rStyle w:val="FootnoteReference"/>
          <w:sz w:val="24"/>
          <w:szCs w:val="24"/>
        </w:rPr>
        <w:footnoteRef/>
      </w:r>
      <w:r w:rsidRPr="00E72A3C">
        <w:rPr>
          <w:sz w:val="24"/>
          <w:szCs w:val="24"/>
        </w:rPr>
        <w:t xml:space="preserve"> </w:t>
      </w:r>
      <w:r w:rsidRPr="00E72A3C">
        <w:rPr>
          <w:i/>
          <w:sz w:val="24"/>
          <w:szCs w:val="24"/>
        </w:rPr>
        <w:t xml:space="preserve">See </w:t>
      </w:r>
      <w:r w:rsidRPr="00E72A3C">
        <w:rPr>
          <w:sz w:val="24"/>
          <w:szCs w:val="24"/>
        </w:rPr>
        <w:t xml:space="preserve">Webster et al., </w:t>
      </w:r>
      <w:r w:rsidRPr="00E72A3C">
        <w:rPr>
          <w:i/>
          <w:sz w:val="24"/>
          <w:szCs w:val="24"/>
        </w:rPr>
        <w:t>supra</w:t>
      </w:r>
      <w:r w:rsidRPr="00E72A3C">
        <w:rPr>
          <w:sz w:val="24"/>
          <w:szCs w:val="24"/>
        </w:rPr>
        <w:t xml:space="preserve"> note 2, at 379-80. </w:t>
      </w:r>
    </w:p>
  </w:footnote>
  <w:footnote w:id="10">
    <w:p w:rsidR="00A424DC" w:rsidRPr="00E72A3C" w:rsidRDefault="00A424DC">
      <w:pPr>
        <w:pStyle w:val="FootnoteText"/>
        <w:rPr>
          <w:i/>
          <w:sz w:val="24"/>
          <w:szCs w:val="24"/>
        </w:rPr>
      </w:pPr>
      <w:r w:rsidRPr="00E72A3C">
        <w:rPr>
          <w:rStyle w:val="FootnoteReference"/>
          <w:sz w:val="24"/>
          <w:szCs w:val="24"/>
        </w:rPr>
        <w:footnoteRef/>
      </w:r>
      <w:r w:rsidRPr="00E72A3C">
        <w:rPr>
          <w:sz w:val="24"/>
          <w:szCs w:val="24"/>
        </w:rPr>
        <w:t xml:space="preserve"> </w:t>
      </w:r>
      <w:r w:rsidRPr="00E72A3C">
        <w:rPr>
          <w:i/>
          <w:sz w:val="24"/>
          <w:szCs w:val="24"/>
        </w:rPr>
        <w:t xml:space="preserve">See </w:t>
      </w:r>
      <w:r w:rsidRPr="00E72A3C">
        <w:rPr>
          <w:sz w:val="24"/>
          <w:szCs w:val="24"/>
        </w:rPr>
        <w:t>Mo. Rev. Stat. § 407.700 (Supp. 1973).</w:t>
      </w:r>
    </w:p>
  </w:footnote>
  <w:footnote w:id="11">
    <w:p w:rsidR="00A424DC" w:rsidRPr="00E26B6F" w:rsidRDefault="00A424DC">
      <w:pPr>
        <w:pStyle w:val="FootnoteText"/>
        <w:rPr>
          <w:sz w:val="24"/>
          <w:szCs w:val="24"/>
        </w:rPr>
      </w:pPr>
      <w:r w:rsidRPr="00E26B6F">
        <w:rPr>
          <w:rStyle w:val="FootnoteReference"/>
          <w:sz w:val="24"/>
          <w:szCs w:val="24"/>
        </w:rPr>
        <w:footnoteRef/>
      </w:r>
      <w:r w:rsidRPr="00E26B6F">
        <w:rPr>
          <w:sz w:val="24"/>
          <w:szCs w:val="24"/>
        </w:rPr>
        <w:t xml:space="preserve"> </w:t>
      </w:r>
      <w:r w:rsidRPr="00E26B6F">
        <w:rPr>
          <w:i/>
          <w:sz w:val="24"/>
          <w:szCs w:val="24"/>
        </w:rPr>
        <w:t xml:space="preserve">See </w:t>
      </w:r>
      <w:r>
        <w:rPr>
          <w:i/>
          <w:sz w:val="24"/>
          <w:szCs w:val="24"/>
        </w:rPr>
        <w:t>id.</w:t>
      </w:r>
      <w:r>
        <w:rPr>
          <w:sz w:val="24"/>
          <w:szCs w:val="24"/>
        </w:rPr>
        <w:t xml:space="preserve"> at § 407.010. </w:t>
      </w:r>
    </w:p>
  </w:footnote>
  <w:footnote w:id="12">
    <w:p w:rsidR="00A424DC" w:rsidRPr="00576D92" w:rsidRDefault="00A424DC" w:rsidP="001444D9">
      <w:pPr>
        <w:pStyle w:val="FootnoteText"/>
        <w:rPr>
          <w:sz w:val="24"/>
          <w:szCs w:val="24"/>
        </w:rPr>
      </w:pPr>
      <w:r w:rsidRPr="00576D92">
        <w:rPr>
          <w:rStyle w:val="FootnoteReference"/>
          <w:sz w:val="24"/>
          <w:szCs w:val="24"/>
        </w:rPr>
        <w:footnoteRef/>
      </w:r>
      <w:r w:rsidRPr="00576D92">
        <w:rPr>
          <w:sz w:val="24"/>
          <w:szCs w:val="24"/>
        </w:rPr>
        <w:t xml:space="preserve"> </w:t>
      </w:r>
      <w:r w:rsidRPr="00576D92">
        <w:rPr>
          <w:i/>
          <w:sz w:val="24"/>
          <w:szCs w:val="24"/>
        </w:rPr>
        <w:t xml:space="preserve">See </w:t>
      </w:r>
      <w:r w:rsidRPr="00576D92">
        <w:rPr>
          <w:sz w:val="24"/>
          <w:szCs w:val="24"/>
        </w:rPr>
        <w:t xml:space="preserve">State ex rel. Danforth v. Independence Dodge, Inc., 494 S.W.2d 362 (Mo. App. 1973). </w:t>
      </w:r>
    </w:p>
  </w:footnote>
  <w:footnote w:id="13">
    <w:p w:rsidR="00A424DC" w:rsidRPr="00576D92" w:rsidRDefault="00A424DC">
      <w:pPr>
        <w:pStyle w:val="FootnoteText"/>
        <w:rPr>
          <w:sz w:val="24"/>
          <w:szCs w:val="24"/>
        </w:rPr>
      </w:pPr>
      <w:r w:rsidRPr="00576D92">
        <w:rPr>
          <w:rStyle w:val="FootnoteReference"/>
          <w:sz w:val="24"/>
          <w:szCs w:val="24"/>
        </w:rPr>
        <w:footnoteRef/>
      </w:r>
      <w:r w:rsidRPr="00576D92">
        <w:rPr>
          <w:sz w:val="24"/>
          <w:szCs w:val="24"/>
        </w:rPr>
        <w:t xml:space="preserve"> </w:t>
      </w:r>
      <w:r w:rsidRPr="00576D92">
        <w:rPr>
          <w:i/>
          <w:sz w:val="24"/>
          <w:szCs w:val="24"/>
        </w:rPr>
        <w:t>Id.</w:t>
      </w:r>
      <w:r w:rsidRPr="00576D92">
        <w:rPr>
          <w:sz w:val="24"/>
          <w:szCs w:val="24"/>
        </w:rPr>
        <w:t xml:space="preserve"> at 368. </w:t>
      </w:r>
    </w:p>
  </w:footnote>
  <w:footnote w:id="14">
    <w:p w:rsidR="00A424DC" w:rsidRPr="00576D92" w:rsidRDefault="00A424DC">
      <w:pPr>
        <w:pStyle w:val="FootnoteText"/>
        <w:rPr>
          <w:sz w:val="24"/>
          <w:szCs w:val="24"/>
        </w:rPr>
      </w:pPr>
      <w:r w:rsidRPr="00576D92">
        <w:rPr>
          <w:rStyle w:val="FootnoteReference"/>
          <w:sz w:val="24"/>
          <w:szCs w:val="24"/>
        </w:rPr>
        <w:footnoteRef/>
      </w:r>
      <w:r w:rsidRPr="00576D92">
        <w:rPr>
          <w:i/>
          <w:sz w:val="24"/>
          <w:szCs w:val="24"/>
        </w:rPr>
        <w:t xml:space="preserve"> Id.</w:t>
      </w:r>
      <w:r w:rsidRPr="00576D92">
        <w:rPr>
          <w:sz w:val="24"/>
          <w:szCs w:val="24"/>
        </w:rPr>
        <w:t xml:space="preserve"> (quoting Commerce Clearing House, Poverty L. Rep., Vol. 1, ¶ 3200) (emphasis added). </w:t>
      </w:r>
    </w:p>
  </w:footnote>
  <w:footnote w:id="15">
    <w:p w:rsidR="00A424DC" w:rsidRPr="00576D92" w:rsidRDefault="00A424DC">
      <w:pPr>
        <w:pStyle w:val="FootnoteText"/>
        <w:rPr>
          <w:sz w:val="24"/>
          <w:szCs w:val="24"/>
        </w:rPr>
      </w:pPr>
      <w:r w:rsidRPr="00576D92">
        <w:rPr>
          <w:rStyle w:val="FootnoteReference"/>
          <w:sz w:val="24"/>
          <w:szCs w:val="24"/>
        </w:rPr>
        <w:footnoteRef/>
      </w:r>
      <w:r w:rsidRPr="00576D92">
        <w:rPr>
          <w:sz w:val="24"/>
          <w:szCs w:val="24"/>
        </w:rPr>
        <w:t xml:space="preserve"> </w:t>
      </w:r>
      <w:r w:rsidRPr="00576D92">
        <w:rPr>
          <w:i/>
          <w:sz w:val="24"/>
          <w:szCs w:val="24"/>
        </w:rPr>
        <w:t>See</w:t>
      </w:r>
      <w:r w:rsidRPr="00576D92">
        <w:rPr>
          <w:sz w:val="24"/>
          <w:szCs w:val="24"/>
        </w:rPr>
        <w:t xml:space="preserve"> Mo. Rev. Stat. § 407.020 (Supp. 1985).</w:t>
      </w:r>
    </w:p>
  </w:footnote>
  <w:footnote w:id="16">
    <w:p w:rsidR="00A424DC" w:rsidRPr="00576D92" w:rsidRDefault="00A424DC">
      <w:pPr>
        <w:pStyle w:val="FootnoteText"/>
        <w:rPr>
          <w:i/>
        </w:rPr>
      </w:pPr>
      <w:r w:rsidRPr="00576D92">
        <w:rPr>
          <w:rStyle w:val="FootnoteReference"/>
          <w:sz w:val="24"/>
          <w:szCs w:val="24"/>
        </w:rPr>
        <w:footnoteRef/>
      </w:r>
      <w:r w:rsidRPr="00576D92">
        <w:rPr>
          <w:sz w:val="24"/>
          <w:szCs w:val="24"/>
        </w:rPr>
        <w:t xml:space="preserve"> </w:t>
      </w:r>
      <w:r w:rsidRPr="00576D92">
        <w:rPr>
          <w:i/>
          <w:sz w:val="24"/>
          <w:szCs w:val="24"/>
        </w:rPr>
        <w:t>See id.</w:t>
      </w:r>
    </w:p>
  </w:footnote>
  <w:footnote w:id="17">
    <w:p w:rsidR="00A424DC" w:rsidRPr="00595BD3" w:rsidRDefault="00A424DC">
      <w:pPr>
        <w:pStyle w:val="FootnoteText"/>
        <w:rPr>
          <w:sz w:val="24"/>
          <w:szCs w:val="24"/>
        </w:rPr>
      </w:pPr>
      <w:r w:rsidRPr="00595BD3">
        <w:rPr>
          <w:rStyle w:val="FootnoteReference"/>
          <w:sz w:val="24"/>
          <w:szCs w:val="24"/>
        </w:rPr>
        <w:footnoteRef/>
      </w:r>
      <w:r w:rsidRPr="00595BD3">
        <w:rPr>
          <w:sz w:val="24"/>
          <w:szCs w:val="24"/>
        </w:rPr>
        <w:t xml:space="preserve"> </w:t>
      </w:r>
      <w:r w:rsidRPr="00595BD3">
        <w:rPr>
          <w:i/>
          <w:sz w:val="24"/>
          <w:szCs w:val="24"/>
        </w:rPr>
        <w:t xml:space="preserve">See </w:t>
      </w:r>
      <w:r w:rsidRPr="00595BD3">
        <w:rPr>
          <w:sz w:val="24"/>
          <w:szCs w:val="24"/>
        </w:rPr>
        <w:t xml:space="preserve">Webster et al., </w:t>
      </w:r>
      <w:r w:rsidRPr="00595BD3">
        <w:rPr>
          <w:i/>
          <w:sz w:val="24"/>
          <w:szCs w:val="24"/>
        </w:rPr>
        <w:t>supra</w:t>
      </w:r>
      <w:r w:rsidRPr="00595BD3">
        <w:rPr>
          <w:sz w:val="24"/>
          <w:szCs w:val="24"/>
        </w:rPr>
        <w:t xml:space="preserve"> note 2, at 383.</w:t>
      </w:r>
    </w:p>
  </w:footnote>
  <w:footnote w:id="18">
    <w:p w:rsidR="00A424DC" w:rsidRPr="006310F5" w:rsidRDefault="00A424DC">
      <w:pPr>
        <w:pStyle w:val="FootnoteText"/>
        <w:rPr>
          <w:sz w:val="24"/>
          <w:szCs w:val="24"/>
        </w:rPr>
      </w:pPr>
      <w:r w:rsidRPr="00595BD3">
        <w:rPr>
          <w:rStyle w:val="FootnoteReference"/>
          <w:sz w:val="24"/>
          <w:szCs w:val="24"/>
        </w:rPr>
        <w:footnoteRef/>
      </w:r>
      <w:r w:rsidRPr="00595BD3">
        <w:rPr>
          <w:sz w:val="24"/>
          <w:szCs w:val="24"/>
        </w:rPr>
        <w:t xml:space="preserve"> </w:t>
      </w:r>
      <w:r w:rsidRPr="00595BD3">
        <w:rPr>
          <w:i/>
          <w:sz w:val="24"/>
          <w:szCs w:val="24"/>
        </w:rPr>
        <w:t>See</w:t>
      </w:r>
      <w:r>
        <w:rPr>
          <w:i/>
          <w:sz w:val="24"/>
          <w:szCs w:val="24"/>
        </w:rPr>
        <w:t xml:space="preserve"> id.</w:t>
      </w:r>
      <w:r>
        <w:rPr>
          <w:sz w:val="24"/>
          <w:szCs w:val="24"/>
        </w:rPr>
        <w:t xml:space="preserve"> </w:t>
      </w:r>
      <w:r w:rsidRPr="00650ED9">
        <w:rPr>
          <w:sz w:val="24"/>
          <w:szCs w:val="24"/>
        </w:rPr>
        <w:t>at 391-92.</w:t>
      </w:r>
    </w:p>
  </w:footnote>
  <w:footnote w:id="19">
    <w:p w:rsidR="00A424DC" w:rsidRPr="006310F5" w:rsidRDefault="00A424DC">
      <w:pPr>
        <w:pStyle w:val="FootnoteText"/>
        <w:rPr>
          <w:sz w:val="24"/>
          <w:szCs w:val="24"/>
        </w:rPr>
      </w:pPr>
      <w:r w:rsidRPr="00650ED9">
        <w:rPr>
          <w:rStyle w:val="FootnoteReference"/>
          <w:sz w:val="24"/>
          <w:szCs w:val="24"/>
        </w:rPr>
        <w:footnoteRef/>
      </w:r>
      <w:r w:rsidRPr="00650ED9">
        <w:rPr>
          <w:sz w:val="24"/>
          <w:szCs w:val="24"/>
        </w:rPr>
        <w:t xml:space="preserve"> </w:t>
      </w:r>
      <w:r>
        <w:rPr>
          <w:i/>
          <w:sz w:val="24"/>
          <w:szCs w:val="24"/>
        </w:rPr>
        <w:t>Id.</w:t>
      </w:r>
      <w:r>
        <w:rPr>
          <w:sz w:val="24"/>
          <w:szCs w:val="24"/>
        </w:rPr>
        <w:t xml:space="preserve"> </w:t>
      </w:r>
    </w:p>
  </w:footnote>
  <w:footnote w:id="20">
    <w:p w:rsidR="00A424DC" w:rsidRPr="00650ED9" w:rsidRDefault="00A424DC">
      <w:pPr>
        <w:pStyle w:val="FootnoteText"/>
        <w:rPr>
          <w:sz w:val="24"/>
          <w:szCs w:val="24"/>
        </w:rPr>
      </w:pPr>
      <w:r w:rsidRPr="00650ED9">
        <w:rPr>
          <w:rStyle w:val="FootnoteReference"/>
          <w:sz w:val="24"/>
          <w:szCs w:val="24"/>
        </w:rPr>
        <w:footnoteRef/>
      </w:r>
      <w:r>
        <w:rPr>
          <w:sz w:val="24"/>
          <w:szCs w:val="24"/>
        </w:rPr>
        <w:t xml:space="preserve"> Mo. Rev. Stat. § 407.020(</w:t>
      </w:r>
      <w:r w:rsidRPr="00650ED9">
        <w:rPr>
          <w:sz w:val="24"/>
          <w:szCs w:val="24"/>
        </w:rPr>
        <w:t>3</w:t>
      </w:r>
      <w:r>
        <w:rPr>
          <w:sz w:val="24"/>
          <w:szCs w:val="24"/>
        </w:rPr>
        <w:t>)</w:t>
      </w:r>
      <w:r w:rsidRPr="00650ED9">
        <w:rPr>
          <w:sz w:val="24"/>
          <w:szCs w:val="24"/>
        </w:rPr>
        <w:t xml:space="preserve">, </w:t>
      </w:r>
      <w:r w:rsidRPr="00650ED9">
        <w:rPr>
          <w:i/>
          <w:sz w:val="24"/>
          <w:szCs w:val="24"/>
        </w:rPr>
        <w:t>supra</w:t>
      </w:r>
      <w:r w:rsidRPr="00650ED9">
        <w:rPr>
          <w:sz w:val="24"/>
          <w:szCs w:val="24"/>
        </w:rPr>
        <w:t xml:space="preserve"> note 1 (emphasis added). The 1985 language provided for a Class D felony. </w:t>
      </w:r>
    </w:p>
  </w:footnote>
  <w:footnote w:id="21">
    <w:p w:rsidR="00A424DC" w:rsidRPr="00382757" w:rsidRDefault="00A424DC">
      <w:pPr>
        <w:pStyle w:val="FootnoteText"/>
        <w:rPr>
          <w:sz w:val="24"/>
          <w:szCs w:val="24"/>
        </w:rPr>
      </w:pPr>
      <w:r w:rsidRPr="00382757">
        <w:rPr>
          <w:rStyle w:val="FootnoteReference"/>
          <w:sz w:val="24"/>
          <w:szCs w:val="24"/>
        </w:rPr>
        <w:footnoteRef/>
      </w:r>
      <w:r w:rsidRPr="00382757">
        <w:rPr>
          <w:sz w:val="24"/>
          <w:szCs w:val="24"/>
        </w:rPr>
        <w:t xml:space="preserve"> </w:t>
      </w:r>
      <w:r w:rsidRPr="00382757">
        <w:rPr>
          <w:i/>
          <w:sz w:val="24"/>
          <w:szCs w:val="24"/>
        </w:rPr>
        <w:t xml:space="preserve"> See </w:t>
      </w:r>
      <w:r w:rsidRPr="00382757">
        <w:rPr>
          <w:sz w:val="24"/>
          <w:szCs w:val="24"/>
        </w:rPr>
        <w:t xml:space="preserve">1992 Mo. Legis. Serv. S.B. 705. </w:t>
      </w:r>
    </w:p>
  </w:footnote>
  <w:footnote w:id="22">
    <w:p w:rsidR="00A424DC" w:rsidRPr="00382757" w:rsidRDefault="00A424DC">
      <w:pPr>
        <w:pStyle w:val="FootnoteText"/>
        <w:rPr>
          <w:sz w:val="24"/>
          <w:szCs w:val="24"/>
        </w:rPr>
      </w:pPr>
      <w:r w:rsidRPr="00382757">
        <w:rPr>
          <w:rStyle w:val="FootnoteReference"/>
          <w:sz w:val="24"/>
          <w:szCs w:val="24"/>
        </w:rPr>
        <w:footnoteRef/>
      </w:r>
      <w:r w:rsidRPr="00382757">
        <w:rPr>
          <w:sz w:val="24"/>
          <w:szCs w:val="24"/>
        </w:rPr>
        <w:t xml:space="preserve"> </w:t>
      </w:r>
      <w:r w:rsidRPr="00382757">
        <w:rPr>
          <w:i/>
          <w:sz w:val="24"/>
          <w:szCs w:val="24"/>
        </w:rPr>
        <w:t xml:space="preserve">See </w:t>
      </w:r>
      <w:r w:rsidRPr="00382757">
        <w:rPr>
          <w:sz w:val="24"/>
          <w:szCs w:val="24"/>
        </w:rPr>
        <w:t xml:space="preserve">1994 Mo. Legis. Serv. H.B. 1165. </w:t>
      </w:r>
    </w:p>
  </w:footnote>
  <w:footnote w:id="23">
    <w:p w:rsidR="00A424DC" w:rsidRPr="00382757" w:rsidRDefault="00A424DC">
      <w:pPr>
        <w:pStyle w:val="FootnoteText"/>
        <w:rPr>
          <w:sz w:val="24"/>
          <w:szCs w:val="24"/>
        </w:rPr>
      </w:pPr>
      <w:r w:rsidRPr="00382757">
        <w:rPr>
          <w:rStyle w:val="FootnoteReference"/>
          <w:sz w:val="24"/>
          <w:szCs w:val="24"/>
        </w:rPr>
        <w:footnoteRef/>
      </w:r>
      <w:r w:rsidRPr="00382757">
        <w:rPr>
          <w:sz w:val="24"/>
          <w:szCs w:val="24"/>
        </w:rPr>
        <w:t xml:space="preserve"> 2000 Mo. Legis. Serv. S.B. 763.</w:t>
      </w:r>
    </w:p>
  </w:footnote>
  <w:footnote w:id="24">
    <w:p w:rsidR="00A424DC" w:rsidRPr="00382757" w:rsidRDefault="00A424DC">
      <w:pPr>
        <w:pStyle w:val="FootnoteText"/>
        <w:rPr>
          <w:sz w:val="24"/>
          <w:szCs w:val="24"/>
        </w:rPr>
      </w:pPr>
      <w:r w:rsidRPr="00382757">
        <w:rPr>
          <w:rStyle w:val="FootnoteReference"/>
          <w:sz w:val="24"/>
          <w:szCs w:val="24"/>
        </w:rPr>
        <w:footnoteRef/>
      </w:r>
      <w:r w:rsidRPr="00382757">
        <w:rPr>
          <w:sz w:val="24"/>
          <w:szCs w:val="24"/>
        </w:rPr>
        <w:t xml:space="preserve"> </w:t>
      </w:r>
      <w:r w:rsidRPr="00382757">
        <w:rPr>
          <w:i/>
          <w:sz w:val="24"/>
          <w:szCs w:val="24"/>
        </w:rPr>
        <w:t>See</w:t>
      </w:r>
      <w:r w:rsidRPr="00382757">
        <w:rPr>
          <w:sz w:val="24"/>
          <w:szCs w:val="24"/>
        </w:rPr>
        <w:t xml:space="preserve"> </w:t>
      </w:r>
      <w:r w:rsidRPr="00382757">
        <w:rPr>
          <w:i/>
          <w:sz w:val="24"/>
          <w:szCs w:val="24"/>
        </w:rPr>
        <w:t>id.</w:t>
      </w:r>
      <w:r w:rsidRPr="00382757">
        <w:rPr>
          <w:sz w:val="24"/>
          <w:szCs w:val="24"/>
        </w:rPr>
        <w:t xml:space="preserve"> </w:t>
      </w:r>
    </w:p>
  </w:footnote>
  <w:footnote w:id="25">
    <w:p w:rsidR="00A424DC" w:rsidRPr="00382757" w:rsidRDefault="00A424DC">
      <w:pPr>
        <w:pStyle w:val="FootnoteText"/>
        <w:rPr>
          <w:sz w:val="24"/>
          <w:szCs w:val="24"/>
        </w:rPr>
      </w:pPr>
      <w:r w:rsidRPr="00382757">
        <w:rPr>
          <w:rStyle w:val="FootnoteReference"/>
          <w:sz w:val="24"/>
          <w:szCs w:val="24"/>
        </w:rPr>
        <w:footnoteRef/>
      </w:r>
      <w:r w:rsidRPr="00382757">
        <w:rPr>
          <w:sz w:val="24"/>
          <w:szCs w:val="24"/>
        </w:rPr>
        <w:t xml:space="preserve"> </w:t>
      </w:r>
      <w:r w:rsidRPr="00382757">
        <w:rPr>
          <w:i/>
          <w:sz w:val="24"/>
          <w:szCs w:val="24"/>
        </w:rPr>
        <w:t xml:space="preserve">See </w:t>
      </w:r>
      <w:r w:rsidRPr="00382757">
        <w:rPr>
          <w:sz w:val="24"/>
          <w:szCs w:val="24"/>
        </w:rPr>
        <w:t>2008 Mo. Legis. Serv. S.B. 788.</w:t>
      </w:r>
    </w:p>
  </w:footnote>
  <w:footnote w:id="26">
    <w:p w:rsidR="00A424DC" w:rsidRPr="00382757" w:rsidRDefault="00A424DC">
      <w:pPr>
        <w:pStyle w:val="FootnoteText"/>
        <w:rPr>
          <w:sz w:val="24"/>
          <w:szCs w:val="24"/>
        </w:rPr>
      </w:pPr>
      <w:r w:rsidRPr="00382757">
        <w:rPr>
          <w:rStyle w:val="FootnoteReference"/>
          <w:sz w:val="24"/>
          <w:szCs w:val="24"/>
        </w:rPr>
        <w:footnoteRef/>
      </w:r>
      <w:r w:rsidRPr="00382757">
        <w:rPr>
          <w:sz w:val="24"/>
          <w:szCs w:val="24"/>
        </w:rPr>
        <w:t xml:space="preserve"> </w:t>
      </w:r>
      <w:r w:rsidRPr="00382757">
        <w:rPr>
          <w:i/>
          <w:sz w:val="24"/>
          <w:szCs w:val="24"/>
        </w:rPr>
        <w:t>See, e.g.,</w:t>
      </w:r>
      <w:r w:rsidRPr="00382757">
        <w:rPr>
          <w:sz w:val="24"/>
          <w:szCs w:val="24"/>
        </w:rPr>
        <w:t xml:space="preserve"> Shepherd, </w:t>
      </w:r>
      <w:r w:rsidRPr="00382757">
        <w:rPr>
          <w:i/>
          <w:sz w:val="24"/>
          <w:szCs w:val="24"/>
        </w:rPr>
        <w:t>infra</w:t>
      </w:r>
      <w:r w:rsidRPr="00382757">
        <w:rPr>
          <w:sz w:val="24"/>
          <w:szCs w:val="24"/>
        </w:rPr>
        <w:t xml:space="preserve"> note </w:t>
      </w:r>
      <w:r>
        <w:rPr>
          <w:sz w:val="24"/>
          <w:szCs w:val="24"/>
        </w:rPr>
        <w:t>3</w:t>
      </w:r>
      <w:r w:rsidR="00B80052">
        <w:rPr>
          <w:sz w:val="24"/>
          <w:szCs w:val="24"/>
        </w:rPr>
        <w:t>4</w:t>
      </w:r>
      <w:r w:rsidRPr="00382757">
        <w:rPr>
          <w:sz w:val="24"/>
          <w:szCs w:val="24"/>
        </w:rPr>
        <w:t xml:space="preserve">, at </w:t>
      </w:r>
      <w:r>
        <w:rPr>
          <w:sz w:val="24"/>
          <w:szCs w:val="24"/>
        </w:rPr>
        <w:t>2</w:t>
      </w:r>
      <w:r w:rsidRPr="00382757">
        <w:rPr>
          <w:sz w:val="24"/>
          <w:szCs w:val="24"/>
        </w:rPr>
        <w:t xml:space="preserve"> (“</w:t>
      </w:r>
      <w:r>
        <w:rPr>
          <w:sz w:val="24"/>
          <w:szCs w:val="24"/>
        </w:rPr>
        <w:t xml:space="preserve">in recent years, it [the MMPA] has been applied in ways not originally contemplated by the Missouri legislature”). As will be further noted later in this article, it is not logically apparent whether Shepherd and the ATRA’s complaints should be geared at the MMPA as such or just a given court’s reading of certain provisions. </w:t>
      </w:r>
    </w:p>
  </w:footnote>
  <w:footnote w:id="27">
    <w:p w:rsidR="00A424DC" w:rsidRPr="00382757" w:rsidRDefault="00A424DC">
      <w:pPr>
        <w:pStyle w:val="FootnoteText"/>
        <w:rPr>
          <w:sz w:val="24"/>
          <w:szCs w:val="24"/>
        </w:rPr>
      </w:pPr>
      <w:r w:rsidRPr="00382757">
        <w:rPr>
          <w:rStyle w:val="FootnoteReference"/>
          <w:sz w:val="24"/>
          <w:szCs w:val="24"/>
        </w:rPr>
        <w:footnoteRef/>
      </w:r>
      <w:r w:rsidRPr="00382757">
        <w:rPr>
          <w:sz w:val="24"/>
          <w:szCs w:val="24"/>
        </w:rPr>
        <w:t xml:space="preserve"> </w:t>
      </w:r>
      <w:r w:rsidRPr="00382757">
        <w:rPr>
          <w:i/>
          <w:sz w:val="24"/>
          <w:szCs w:val="24"/>
        </w:rPr>
        <w:t xml:space="preserve">See </w:t>
      </w:r>
      <w:r w:rsidRPr="00576D92">
        <w:rPr>
          <w:sz w:val="24"/>
          <w:szCs w:val="24"/>
        </w:rPr>
        <w:t>State ex rel. Danforth v. Independence Dodge, Inc., 494 S.W.2d 362</w:t>
      </w:r>
      <w:r>
        <w:rPr>
          <w:sz w:val="24"/>
          <w:szCs w:val="24"/>
        </w:rPr>
        <w:t>, 368</w:t>
      </w:r>
      <w:r w:rsidRPr="00576D92">
        <w:rPr>
          <w:sz w:val="24"/>
          <w:szCs w:val="24"/>
        </w:rPr>
        <w:t xml:space="preserve"> (Mo. App. 1973). </w:t>
      </w:r>
    </w:p>
  </w:footnote>
  <w:footnote w:id="28">
    <w:p w:rsidR="00A424DC" w:rsidRDefault="00A424DC">
      <w:pPr>
        <w:pStyle w:val="FootnoteText"/>
        <w:rPr>
          <w:sz w:val="24"/>
          <w:szCs w:val="24"/>
        </w:rPr>
      </w:pPr>
      <w:r w:rsidRPr="0027350B">
        <w:rPr>
          <w:rStyle w:val="FootnoteReference"/>
          <w:sz w:val="24"/>
          <w:szCs w:val="24"/>
        </w:rPr>
        <w:footnoteRef/>
      </w:r>
      <w:r w:rsidRPr="0027350B">
        <w:rPr>
          <w:sz w:val="24"/>
          <w:szCs w:val="24"/>
        </w:rPr>
        <w:t xml:space="preserve"> </w:t>
      </w:r>
      <w:r w:rsidRPr="0027350B">
        <w:rPr>
          <w:i/>
          <w:sz w:val="24"/>
          <w:szCs w:val="24"/>
        </w:rPr>
        <w:t>See, e.g.,</w:t>
      </w:r>
      <w:r>
        <w:rPr>
          <w:sz w:val="24"/>
          <w:szCs w:val="24"/>
        </w:rPr>
        <w:t xml:space="preserve"> Jim Gallagher, </w:t>
      </w:r>
      <w:r>
        <w:rPr>
          <w:i/>
          <w:sz w:val="24"/>
          <w:szCs w:val="24"/>
        </w:rPr>
        <w:t>Missouri Consumer Law Is Under Attack</w:t>
      </w:r>
      <w:r>
        <w:rPr>
          <w:sz w:val="24"/>
          <w:szCs w:val="24"/>
        </w:rPr>
        <w:t xml:space="preserve">, </w:t>
      </w:r>
      <w:r w:rsidRPr="00004245">
        <w:rPr>
          <w:smallCaps/>
          <w:sz w:val="24"/>
          <w:szCs w:val="24"/>
        </w:rPr>
        <w:t>St. Louis Post-Dispatch</w:t>
      </w:r>
      <w:r>
        <w:rPr>
          <w:sz w:val="24"/>
          <w:szCs w:val="24"/>
        </w:rPr>
        <w:t xml:space="preserve"> (Feb. 6, 2017),</w:t>
      </w:r>
      <w:r w:rsidRPr="0027350B">
        <w:rPr>
          <w:sz w:val="24"/>
          <w:szCs w:val="24"/>
        </w:rPr>
        <w:t xml:space="preserve"> </w:t>
      </w:r>
      <w:hyperlink r:id="rId2" w:history="1">
        <w:r w:rsidRPr="00004245">
          <w:rPr>
            <w:rStyle w:val="Hyperlink"/>
            <w:sz w:val="24"/>
            <w:szCs w:val="24"/>
          </w:rPr>
          <w:t>http://www.stltoday.com/business/local/missouri-consumer-law-is-under-attack/article_100a4d4e-1b02-51c3-b294-ddda4f224c9b.html</w:t>
        </w:r>
      </w:hyperlink>
      <w:r>
        <w:rPr>
          <w:sz w:val="24"/>
          <w:szCs w:val="24"/>
        </w:rPr>
        <w:t xml:space="preserve">; Cara Spencer, </w:t>
      </w:r>
      <w:r>
        <w:rPr>
          <w:i/>
          <w:sz w:val="24"/>
          <w:szCs w:val="24"/>
        </w:rPr>
        <w:t xml:space="preserve">Missouri Consumer Protection Law Is Under </w:t>
      </w:r>
      <w:r w:rsidRPr="00004245">
        <w:rPr>
          <w:i/>
          <w:sz w:val="24"/>
          <w:szCs w:val="24"/>
        </w:rPr>
        <w:t>Attack</w:t>
      </w:r>
      <w:r>
        <w:rPr>
          <w:sz w:val="24"/>
          <w:szCs w:val="24"/>
        </w:rPr>
        <w:t xml:space="preserve">, </w:t>
      </w:r>
      <w:r w:rsidRPr="00004245">
        <w:rPr>
          <w:smallCaps/>
          <w:sz w:val="24"/>
          <w:szCs w:val="24"/>
        </w:rPr>
        <w:t>St. Louis American</w:t>
      </w:r>
      <w:r>
        <w:rPr>
          <w:sz w:val="24"/>
          <w:szCs w:val="24"/>
        </w:rPr>
        <w:t xml:space="preserve"> (Jan. 30, 2017), </w:t>
      </w:r>
    </w:p>
    <w:p w:rsidR="00A424DC" w:rsidRPr="0027350B" w:rsidRDefault="00EF1672">
      <w:pPr>
        <w:pStyle w:val="FootnoteText"/>
        <w:rPr>
          <w:sz w:val="24"/>
          <w:szCs w:val="24"/>
        </w:rPr>
      </w:pPr>
      <w:hyperlink r:id="rId3" w:history="1">
        <w:r w:rsidR="00A424DC" w:rsidRPr="00004245">
          <w:rPr>
            <w:rStyle w:val="Hyperlink"/>
            <w:sz w:val="24"/>
            <w:szCs w:val="24"/>
          </w:rPr>
          <w:t>http://www.stlamerican.com/news/columnists/guest_columnists/missouri-consumer-protection-law-is-under-attack/article_07f56fd0-e725-11e6-99a8-ef49a18df41c.html</w:t>
        </w:r>
      </w:hyperlink>
      <w:r w:rsidR="00A424DC">
        <w:rPr>
          <w:sz w:val="24"/>
          <w:szCs w:val="24"/>
        </w:rPr>
        <w:t>.</w:t>
      </w:r>
    </w:p>
  </w:footnote>
  <w:footnote w:id="29">
    <w:p w:rsidR="00A424DC" w:rsidRPr="00824F18" w:rsidRDefault="00A424DC">
      <w:pPr>
        <w:pStyle w:val="FootnoteText"/>
        <w:rPr>
          <w:sz w:val="24"/>
          <w:szCs w:val="24"/>
        </w:rPr>
      </w:pPr>
      <w:r w:rsidRPr="00824F18">
        <w:rPr>
          <w:rStyle w:val="FootnoteReference"/>
          <w:sz w:val="24"/>
          <w:szCs w:val="24"/>
        </w:rPr>
        <w:footnoteRef/>
      </w:r>
      <w:r w:rsidRPr="00824F18">
        <w:rPr>
          <w:sz w:val="24"/>
          <w:szCs w:val="24"/>
        </w:rPr>
        <w:t xml:space="preserve"> </w:t>
      </w:r>
      <w:r w:rsidRPr="00824F18">
        <w:rPr>
          <w:i/>
          <w:sz w:val="24"/>
          <w:szCs w:val="24"/>
        </w:rPr>
        <w:t>See, e.g.,</w:t>
      </w:r>
      <w:r w:rsidRPr="00824F18">
        <w:rPr>
          <w:sz w:val="24"/>
          <w:szCs w:val="24"/>
        </w:rPr>
        <w:t xml:space="preserve"> Deirdre Shesgreen, </w:t>
      </w:r>
      <w:r w:rsidRPr="00824F18">
        <w:rPr>
          <w:i/>
          <w:sz w:val="24"/>
          <w:szCs w:val="24"/>
        </w:rPr>
        <w:t>Joplin Businessman David Humphreys Is Missouri’s Rising Republican Mega-Donor</w:t>
      </w:r>
      <w:r w:rsidRPr="00824F18">
        <w:rPr>
          <w:sz w:val="24"/>
          <w:szCs w:val="24"/>
        </w:rPr>
        <w:t xml:space="preserve">, </w:t>
      </w:r>
      <w:r w:rsidRPr="00824F18">
        <w:rPr>
          <w:smallCaps/>
          <w:sz w:val="24"/>
          <w:szCs w:val="24"/>
        </w:rPr>
        <w:t>Springfield News-Leader</w:t>
      </w:r>
      <w:r w:rsidRPr="00824F18">
        <w:rPr>
          <w:sz w:val="24"/>
          <w:szCs w:val="24"/>
        </w:rPr>
        <w:t xml:space="preserve"> (Oct. 7, 2017), </w:t>
      </w:r>
      <w:hyperlink r:id="rId4" w:history="1">
        <w:r w:rsidRPr="00824F18">
          <w:rPr>
            <w:rStyle w:val="Hyperlink"/>
            <w:sz w:val="24"/>
            <w:szCs w:val="24"/>
          </w:rPr>
          <w:t>https://www.news-leader.com/story/news/politics/2017/10/07/joplin-businessman-david-humphreys-missouris-rising-republican-mega-donor/737275001/</w:t>
        </w:r>
      </w:hyperlink>
      <w:r w:rsidRPr="00824F18">
        <w:rPr>
          <w:sz w:val="24"/>
          <w:szCs w:val="24"/>
        </w:rPr>
        <w:t>.</w:t>
      </w:r>
    </w:p>
  </w:footnote>
  <w:footnote w:id="30">
    <w:p w:rsidR="00A424DC" w:rsidRPr="00824F18" w:rsidRDefault="00A424DC">
      <w:pPr>
        <w:pStyle w:val="FootnoteText"/>
        <w:rPr>
          <w:sz w:val="24"/>
          <w:szCs w:val="24"/>
        </w:rPr>
      </w:pPr>
      <w:r w:rsidRPr="00824F18">
        <w:rPr>
          <w:rStyle w:val="FootnoteReference"/>
          <w:sz w:val="24"/>
          <w:szCs w:val="24"/>
        </w:rPr>
        <w:footnoteRef/>
      </w:r>
      <w:r w:rsidRPr="00824F18">
        <w:rPr>
          <w:sz w:val="24"/>
          <w:szCs w:val="24"/>
        </w:rPr>
        <w:t xml:space="preserve"> </w:t>
      </w:r>
      <w:r w:rsidRPr="00824F18">
        <w:rPr>
          <w:i/>
          <w:sz w:val="24"/>
          <w:szCs w:val="24"/>
        </w:rPr>
        <w:t>See, e.g.,</w:t>
      </w:r>
      <w:r w:rsidRPr="00824F18">
        <w:rPr>
          <w:sz w:val="24"/>
          <w:szCs w:val="24"/>
        </w:rPr>
        <w:t xml:space="preserve"> Will Schmitt, </w:t>
      </w:r>
      <w:r w:rsidRPr="00824F18">
        <w:rPr>
          <w:i/>
          <w:sz w:val="24"/>
          <w:szCs w:val="24"/>
        </w:rPr>
        <w:t>Legislation to Block Lawsuits, Big Awards Rolls Through Missouri House and Senate</w:t>
      </w:r>
      <w:r w:rsidRPr="00824F18">
        <w:rPr>
          <w:sz w:val="24"/>
          <w:szCs w:val="24"/>
        </w:rPr>
        <w:t xml:space="preserve">, </w:t>
      </w:r>
      <w:r w:rsidRPr="00824F18">
        <w:rPr>
          <w:smallCaps/>
          <w:sz w:val="24"/>
          <w:szCs w:val="24"/>
        </w:rPr>
        <w:t>Springfield News-Leader</w:t>
      </w:r>
      <w:r w:rsidRPr="00824F18">
        <w:rPr>
          <w:sz w:val="24"/>
          <w:szCs w:val="24"/>
        </w:rPr>
        <w:t xml:space="preserve"> (Feb. 18, 2017), </w:t>
      </w:r>
      <w:hyperlink r:id="rId5" w:history="1">
        <w:r w:rsidRPr="00824F18">
          <w:rPr>
            <w:rStyle w:val="Hyperlink"/>
            <w:sz w:val="24"/>
            <w:szCs w:val="24"/>
          </w:rPr>
          <w:t>https://www.news-leader.com/story/news/politics/2017/02/19/legislation-block-lawsuits-big-awards-rolls-through-missouri-house-and-senate/97851464/</w:t>
        </w:r>
      </w:hyperlink>
      <w:r w:rsidRPr="00824F18">
        <w:rPr>
          <w:sz w:val="24"/>
          <w:szCs w:val="24"/>
        </w:rPr>
        <w:t xml:space="preserve">. </w:t>
      </w:r>
    </w:p>
  </w:footnote>
  <w:footnote w:id="31">
    <w:p w:rsidR="00A424DC" w:rsidRPr="00824F18" w:rsidRDefault="00A424DC">
      <w:pPr>
        <w:pStyle w:val="FootnoteText"/>
        <w:rPr>
          <w:sz w:val="24"/>
          <w:szCs w:val="24"/>
        </w:rPr>
      </w:pPr>
      <w:r w:rsidRPr="00824F18">
        <w:rPr>
          <w:rStyle w:val="FootnoteReference"/>
          <w:sz w:val="24"/>
          <w:szCs w:val="24"/>
        </w:rPr>
        <w:footnoteRef/>
      </w:r>
      <w:r w:rsidRPr="00824F18">
        <w:rPr>
          <w:sz w:val="24"/>
          <w:szCs w:val="24"/>
        </w:rPr>
        <w:t xml:space="preserve"> </w:t>
      </w:r>
      <w:r w:rsidRPr="00824F18">
        <w:rPr>
          <w:i/>
          <w:sz w:val="24"/>
          <w:szCs w:val="24"/>
        </w:rPr>
        <w:t xml:space="preserve">See, e.g., </w:t>
      </w:r>
      <w:r w:rsidRPr="00824F18">
        <w:rPr>
          <w:sz w:val="24"/>
          <w:szCs w:val="24"/>
        </w:rPr>
        <w:t xml:space="preserve">Jacob Luecke, </w:t>
      </w:r>
      <w:r w:rsidRPr="00824F18">
        <w:rPr>
          <w:i/>
          <w:sz w:val="24"/>
          <w:szCs w:val="24"/>
        </w:rPr>
        <w:t>MMPA Reform Will Benefit Missouri’s Court System</w:t>
      </w:r>
      <w:r w:rsidRPr="00824F18">
        <w:rPr>
          <w:sz w:val="24"/>
          <w:szCs w:val="24"/>
        </w:rPr>
        <w:t xml:space="preserve">, </w:t>
      </w:r>
      <w:r w:rsidRPr="00824F18">
        <w:rPr>
          <w:smallCaps/>
          <w:sz w:val="24"/>
          <w:szCs w:val="24"/>
        </w:rPr>
        <w:t>Missouri Business</w:t>
      </w:r>
      <w:r w:rsidRPr="00824F18">
        <w:rPr>
          <w:sz w:val="24"/>
          <w:szCs w:val="24"/>
        </w:rPr>
        <w:t xml:space="preserve"> (Feb. 19, 2015), </w:t>
      </w:r>
      <w:hyperlink r:id="rId6" w:history="1">
        <w:r w:rsidRPr="00824F18">
          <w:rPr>
            <w:rStyle w:val="Hyperlink"/>
            <w:sz w:val="24"/>
            <w:szCs w:val="24"/>
          </w:rPr>
          <w:t>https://mobizmagazine.com/2015/02/19/mmpa-reform-will-benefit-missouris-court-system/</w:t>
        </w:r>
      </w:hyperlink>
      <w:r w:rsidRPr="00824F18">
        <w:rPr>
          <w:sz w:val="24"/>
          <w:szCs w:val="24"/>
        </w:rPr>
        <w:t>.</w:t>
      </w:r>
      <w:r>
        <w:rPr>
          <w:sz w:val="24"/>
          <w:szCs w:val="24"/>
        </w:rPr>
        <w:t xml:space="preserve"> While this post was submitted by “Jacob Luecke,” it is almost literally just a recitation of Shepherd’s short piece. </w:t>
      </w:r>
    </w:p>
  </w:footnote>
  <w:footnote w:id="32">
    <w:p w:rsidR="00A424DC" w:rsidRPr="00824F18" w:rsidRDefault="00A424DC">
      <w:pPr>
        <w:pStyle w:val="FootnoteText"/>
        <w:rPr>
          <w:sz w:val="24"/>
          <w:szCs w:val="24"/>
        </w:rPr>
      </w:pPr>
      <w:r w:rsidRPr="00824F18">
        <w:rPr>
          <w:rStyle w:val="FootnoteReference"/>
          <w:sz w:val="24"/>
          <w:szCs w:val="24"/>
        </w:rPr>
        <w:footnoteRef/>
      </w:r>
      <w:r w:rsidRPr="00824F18">
        <w:rPr>
          <w:sz w:val="24"/>
          <w:szCs w:val="24"/>
        </w:rPr>
        <w:t xml:space="preserve"> </w:t>
      </w:r>
      <w:r w:rsidRPr="00824F18">
        <w:rPr>
          <w:i/>
          <w:sz w:val="24"/>
          <w:szCs w:val="24"/>
        </w:rPr>
        <w:t>See, e.g.,</w:t>
      </w:r>
      <w:r w:rsidRPr="00824F18">
        <w:rPr>
          <w:sz w:val="24"/>
          <w:szCs w:val="24"/>
        </w:rPr>
        <w:t xml:space="preserve"> </w:t>
      </w:r>
      <w:r w:rsidRPr="00824F18">
        <w:rPr>
          <w:i/>
          <w:sz w:val="24"/>
          <w:szCs w:val="24"/>
        </w:rPr>
        <w:t>id.</w:t>
      </w:r>
      <w:r w:rsidRPr="00824F18">
        <w:rPr>
          <w:sz w:val="24"/>
          <w:szCs w:val="24"/>
        </w:rPr>
        <w:t xml:space="preserve"> </w:t>
      </w:r>
    </w:p>
  </w:footnote>
  <w:footnote w:id="33">
    <w:p w:rsidR="00A424DC" w:rsidRPr="00673E40" w:rsidRDefault="00A424DC">
      <w:pPr>
        <w:pStyle w:val="FootnoteText"/>
        <w:rPr>
          <w:sz w:val="24"/>
          <w:szCs w:val="24"/>
        </w:rPr>
      </w:pPr>
      <w:r w:rsidRPr="00CC4EDF">
        <w:rPr>
          <w:rStyle w:val="FootnoteReference"/>
          <w:sz w:val="24"/>
          <w:szCs w:val="24"/>
        </w:rPr>
        <w:footnoteRef/>
      </w:r>
      <w:r>
        <w:rPr>
          <w:sz w:val="24"/>
          <w:szCs w:val="24"/>
        </w:rPr>
        <w:t xml:space="preserve"> Wright is a former FTC commissioner,</w:t>
      </w:r>
      <w:r w:rsidRPr="00CC4EDF">
        <w:rPr>
          <w:sz w:val="24"/>
          <w:szCs w:val="24"/>
        </w:rPr>
        <w:t xml:space="preserve"> </w:t>
      </w:r>
      <w:r>
        <w:rPr>
          <w:sz w:val="24"/>
          <w:szCs w:val="24"/>
        </w:rPr>
        <w:t xml:space="preserve">antitrust expert, and law professor at George Mason. His work for the Searle Civil Justice Institute seems to be the primary source of data for Shepherd and Shepherd &amp; Cooper, </w:t>
      </w:r>
      <w:r>
        <w:rPr>
          <w:i/>
          <w:sz w:val="24"/>
          <w:szCs w:val="24"/>
        </w:rPr>
        <w:t>infra</w:t>
      </w:r>
      <w:r>
        <w:rPr>
          <w:sz w:val="24"/>
          <w:szCs w:val="24"/>
        </w:rPr>
        <w:t xml:space="preserve"> note 33. </w:t>
      </w:r>
      <w:r>
        <w:rPr>
          <w:i/>
          <w:sz w:val="24"/>
          <w:szCs w:val="24"/>
        </w:rPr>
        <w:t>See</w:t>
      </w:r>
      <w:r>
        <w:rPr>
          <w:sz w:val="24"/>
          <w:szCs w:val="24"/>
        </w:rPr>
        <w:t xml:space="preserve"> Searle Civil Justice Institute (“Searle Study”), </w:t>
      </w:r>
      <w:r w:rsidRPr="00673E40">
        <w:rPr>
          <w:i/>
          <w:sz w:val="24"/>
          <w:szCs w:val="24"/>
        </w:rPr>
        <w:t>State Consumer Protection Acts: An Empirical Investigation of Private Litigation</w:t>
      </w:r>
      <w:r>
        <w:rPr>
          <w:i/>
          <w:sz w:val="24"/>
          <w:szCs w:val="24"/>
        </w:rPr>
        <w:t>, Preliminary Report</w:t>
      </w:r>
      <w:r>
        <w:rPr>
          <w:sz w:val="24"/>
          <w:szCs w:val="24"/>
        </w:rPr>
        <w:t xml:space="preserve"> xv (Dec. 2009), </w:t>
      </w:r>
      <w:hyperlink r:id="rId7" w:history="1">
        <w:r w:rsidRPr="006D472B">
          <w:rPr>
            <w:rStyle w:val="Hyperlink"/>
            <w:sz w:val="24"/>
            <w:szCs w:val="24"/>
          </w:rPr>
          <w:t>https://papers.ssrn.com/sol3/papers.cfm?abstract_id=1708175</w:t>
        </w:r>
      </w:hyperlink>
      <w:r>
        <w:rPr>
          <w:sz w:val="24"/>
          <w:szCs w:val="24"/>
        </w:rPr>
        <w:t>.</w:t>
      </w:r>
    </w:p>
  </w:footnote>
  <w:footnote w:id="34">
    <w:p w:rsidR="00A424DC" w:rsidRPr="00D16425" w:rsidRDefault="00A424DC" w:rsidP="00831F89">
      <w:pPr>
        <w:pStyle w:val="FootnoteText"/>
        <w:rPr>
          <w:rFonts w:eastAsia="Times New Roman"/>
          <w:color w:val="000000" w:themeColor="text1"/>
          <w:sz w:val="24"/>
          <w:szCs w:val="24"/>
        </w:rPr>
      </w:pPr>
      <w:r w:rsidRPr="00C93E6D">
        <w:rPr>
          <w:rStyle w:val="FootnoteReference"/>
          <w:sz w:val="24"/>
          <w:szCs w:val="24"/>
        </w:rPr>
        <w:footnoteRef/>
      </w:r>
      <w:r>
        <w:rPr>
          <w:sz w:val="24"/>
          <w:szCs w:val="24"/>
        </w:rPr>
        <w:t xml:space="preserve"> For example, the ATRA cites Joanna Shepherd (</w:t>
      </w:r>
      <w:r>
        <w:rPr>
          <w:i/>
          <w:sz w:val="24"/>
          <w:szCs w:val="24"/>
        </w:rPr>
        <w:t>see</w:t>
      </w:r>
      <w:r>
        <w:rPr>
          <w:sz w:val="24"/>
          <w:szCs w:val="24"/>
        </w:rPr>
        <w:t xml:space="preserve"> </w:t>
      </w:r>
      <w:r>
        <w:rPr>
          <w:i/>
          <w:sz w:val="24"/>
          <w:szCs w:val="24"/>
        </w:rPr>
        <w:t>Trial Lawyers “Willfully Misleading” Media, Public on Much-Needed MPA Reform</w:t>
      </w:r>
      <w:r>
        <w:rPr>
          <w:sz w:val="24"/>
          <w:szCs w:val="24"/>
        </w:rPr>
        <w:t xml:space="preserve">, Press Releases, </w:t>
      </w:r>
      <w:r w:rsidRPr="004444E6">
        <w:rPr>
          <w:smallCaps/>
          <w:sz w:val="24"/>
          <w:szCs w:val="24"/>
        </w:rPr>
        <w:t>ATRA</w:t>
      </w:r>
      <w:r>
        <w:rPr>
          <w:sz w:val="24"/>
          <w:szCs w:val="24"/>
        </w:rPr>
        <w:t xml:space="preserve"> (Feb. 7, 2017), </w:t>
      </w:r>
      <w:hyperlink r:id="rId8" w:history="1">
        <w:r w:rsidRPr="009B4B69">
          <w:rPr>
            <w:rStyle w:val="Hyperlink"/>
            <w:sz w:val="24"/>
            <w:szCs w:val="24"/>
          </w:rPr>
          <w:t>http://www.atra.org/2017/02/07/trial-lawyers-willfully-misleading-media-public-much-needed-mpa-reform/</w:t>
        </w:r>
      </w:hyperlink>
      <w:r>
        <w:rPr>
          <w:sz w:val="24"/>
          <w:szCs w:val="24"/>
        </w:rPr>
        <w:t xml:space="preserve">), who in turn cites previous ATRA sources </w:t>
      </w:r>
      <w:r w:rsidRPr="001A3B84">
        <w:rPr>
          <w:sz w:val="24"/>
          <w:szCs w:val="24"/>
        </w:rPr>
        <w:t>(</w:t>
      </w:r>
      <w:r w:rsidRPr="001A3B84">
        <w:rPr>
          <w:i/>
          <w:sz w:val="24"/>
          <w:szCs w:val="24"/>
        </w:rPr>
        <w:t xml:space="preserve">see </w:t>
      </w:r>
      <w:r w:rsidRPr="001A3B84">
        <w:rPr>
          <w:sz w:val="24"/>
          <w:szCs w:val="24"/>
        </w:rPr>
        <w:t xml:space="preserve">Joanna Shepherd, </w:t>
      </w:r>
      <w:r w:rsidRPr="001A3B84">
        <w:rPr>
          <w:i/>
          <w:sz w:val="24"/>
          <w:szCs w:val="24"/>
        </w:rPr>
        <w:t xml:space="preserve">The Expanding Missouri Merchandising Practices Act </w:t>
      </w:r>
      <w:r w:rsidRPr="001A3B84">
        <w:rPr>
          <w:sz w:val="24"/>
          <w:szCs w:val="24"/>
        </w:rPr>
        <w:t>(</w:t>
      </w:r>
      <w:r>
        <w:rPr>
          <w:sz w:val="24"/>
          <w:szCs w:val="24"/>
        </w:rPr>
        <w:t>“</w:t>
      </w:r>
      <w:r w:rsidRPr="001A3B84">
        <w:rPr>
          <w:sz w:val="24"/>
          <w:szCs w:val="24"/>
        </w:rPr>
        <w:t>Shepherd</w:t>
      </w:r>
      <w:r>
        <w:rPr>
          <w:sz w:val="24"/>
          <w:szCs w:val="24"/>
        </w:rPr>
        <w:t>”</w:t>
      </w:r>
      <w:r w:rsidRPr="001A3B84">
        <w:rPr>
          <w:sz w:val="24"/>
          <w:szCs w:val="24"/>
        </w:rPr>
        <w:t xml:space="preserve">), </w:t>
      </w:r>
      <w:r w:rsidRPr="001A3B84">
        <w:rPr>
          <w:smallCaps/>
          <w:sz w:val="24"/>
          <w:szCs w:val="24"/>
        </w:rPr>
        <w:t>ATR Foundation</w:t>
      </w:r>
      <w:r w:rsidRPr="001A3B84">
        <w:rPr>
          <w:sz w:val="24"/>
          <w:szCs w:val="24"/>
        </w:rPr>
        <w:t xml:space="preserve"> 5, 12, 14,</w:t>
      </w:r>
      <w:r>
        <w:rPr>
          <w:sz w:val="24"/>
          <w:szCs w:val="24"/>
        </w:rPr>
        <w:t xml:space="preserve"> </w:t>
      </w:r>
      <w:hyperlink r:id="rId9" w:history="1">
        <w:r w:rsidRPr="00A71153">
          <w:rPr>
            <w:rStyle w:val="Hyperlink"/>
            <w:sz w:val="24"/>
            <w:szCs w:val="24"/>
          </w:rPr>
          <w:t>http://www.judicialhellholes.org/wp-content/uploads/2017/02/103114_MMPAreport.pdf</w:t>
        </w:r>
      </w:hyperlink>
      <w:r>
        <w:rPr>
          <w:sz w:val="24"/>
          <w:szCs w:val="24"/>
        </w:rPr>
        <w:t xml:space="preserve">); Dan Mehan, President and CEO of the Missouri Chamber of Commerce and Industry, who has been vocal in his support of amending the MPA, cited the same Shepherd piece in a </w:t>
      </w:r>
      <w:r>
        <w:rPr>
          <w:i/>
          <w:sz w:val="24"/>
          <w:szCs w:val="24"/>
        </w:rPr>
        <w:t>Kansas City Star</w:t>
      </w:r>
      <w:r>
        <w:rPr>
          <w:sz w:val="24"/>
          <w:szCs w:val="24"/>
        </w:rPr>
        <w:t xml:space="preserve"> editorial (</w:t>
      </w:r>
      <w:r>
        <w:rPr>
          <w:i/>
          <w:sz w:val="24"/>
          <w:szCs w:val="24"/>
        </w:rPr>
        <w:t xml:space="preserve">see </w:t>
      </w:r>
      <w:r>
        <w:rPr>
          <w:sz w:val="24"/>
          <w:szCs w:val="24"/>
        </w:rPr>
        <w:t xml:space="preserve">Dan Mehan, </w:t>
      </w:r>
      <w:r>
        <w:rPr>
          <w:i/>
          <w:sz w:val="24"/>
          <w:szCs w:val="24"/>
        </w:rPr>
        <w:t>Not Enough Junior Mints in a Box? That Shouldn’t Be Grounds for a Class-Action Lawsuit</w:t>
      </w:r>
      <w:r>
        <w:rPr>
          <w:sz w:val="24"/>
          <w:szCs w:val="24"/>
        </w:rPr>
        <w:t xml:space="preserve">, </w:t>
      </w:r>
      <w:r w:rsidRPr="00061479">
        <w:rPr>
          <w:smallCaps/>
          <w:sz w:val="24"/>
          <w:szCs w:val="24"/>
        </w:rPr>
        <w:t>Kansas City Star</w:t>
      </w:r>
      <w:r>
        <w:rPr>
          <w:sz w:val="24"/>
          <w:szCs w:val="24"/>
        </w:rPr>
        <w:t xml:space="preserve"> (Mar. 7, 2018), </w:t>
      </w:r>
      <w:hyperlink r:id="rId10" w:history="1">
        <w:r w:rsidRPr="00061479">
          <w:rPr>
            <w:rStyle w:val="Hyperlink"/>
            <w:sz w:val="24"/>
            <w:szCs w:val="24"/>
          </w:rPr>
          <w:t>http://www.kansascity.com/opinion/readers-opinion/guest-commentary/article203928714.html</w:t>
        </w:r>
      </w:hyperlink>
      <w:r>
        <w:rPr>
          <w:sz w:val="24"/>
          <w:szCs w:val="24"/>
        </w:rPr>
        <w:t>). The Missouri Chamber Legal Foundation hosted, with the ATRA, a St. Louis Continuing Legal Education panel featuring Joanna Shepherd and Joshua Wright (</w:t>
      </w:r>
      <w:r>
        <w:rPr>
          <w:i/>
          <w:sz w:val="24"/>
          <w:szCs w:val="24"/>
        </w:rPr>
        <w:t xml:space="preserve">see </w:t>
      </w:r>
      <w:hyperlink r:id="rId11" w:history="1">
        <w:r w:rsidRPr="00F840B7">
          <w:rPr>
            <w:rStyle w:val="Hyperlink"/>
            <w:rFonts w:eastAsia="Times New Roman"/>
            <w:sz w:val="24"/>
            <w:szCs w:val="24"/>
          </w:rPr>
          <w:t>https://www.shb.com/~/media/files/news/2014/atranov2014.pdf</w:t>
        </w:r>
      </w:hyperlink>
      <w:r>
        <w:rPr>
          <w:rFonts w:eastAsia="Times New Roman"/>
          <w:color w:val="000000" w:themeColor="text1"/>
          <w:sz w:val="24"/>
          <w:szCs w:val="24"/>
        </w:rPr>
        <w:t>). Shepherd coauthored a more formally academic exploration of consumer law with a George Mason colleague of Wright’s (</w:t>
      </w:r>
      <w:r>
        <w:rPr>
          <w:rFonts w:eastAsia="Times New Roman"/>
          <w:i/>
          <w:color w:val="000000" w:themeColor="text1"/>
          <w:sz w:val="24"/>
          <w:szCs w:val="24"/>
        </w:rPr>
        <w:t>see</w:t>
      </w:r>
      <w:r>
        <w:rPr>
          <w:rFonts w:eastAsia="Times New Roman"/>
          <w:color w:val="000000" w:themeColor="text1"/>
          <w:sz w:val="24"/>
          <w:szCs w:val="24"/>
        </w:rPr>
        <w:t xml:space="preserve"> James Cooper &amp; Joanna Shepherd (“Cooper &amp; Shepherd”), </w:t>
      </w:r>
      <w:r>
        <w:rPr>
          <w:rFonts w:eastAsia="Times New Roman"/>
          <w:i/>
          <w:color w:val="000000" w:themeColor="text1"/>
          <w:sz w:val="24"/>
          <w:szCs w:val="24"/>
        </w:rPr>
        <w:t xml:space="preserve">State Unfair </w:t>
      </w:r>
      <w:r w:rsidRPr="00A61658">
        <w:rPr>
          <w:rFonts w:eastAsia="Times New Roman"/>
          <w:i/>
          <w:color w:val="000000" w:themeColor="text1"/>
          <w:sz w:val="24"/>
          <w:szCs w:val="24"/>
        </w:rPr>
        <w:t>and Deceptive Trade Practice Laws: An Economic and Empirical Analysis</w:t>
      </w:r>
      <w:r w:rsidRPr="00A61658">
        <w:rPr>
          <w:rFonts w:eastAsia="Times New Roman"/>
          <w:color w:val="000000" w:themeColor="text1"/>
          <w:sz w:val="24"/>
          <w:szCs w:val="24"/>
        </w:rPr>
        <w:t xml:space="preserve">, 81 </w:t>
      </w:r>
      <w:r w:rsidRPr="00A61658">
        <w:rPr>
          <w:rFonts w:eastAsia="Times New Roman"/>
          <w:smallCaps/>
          <w:color w:val="000000" w:themeColor="text1"/>
          <w:sz w:val="24"/>
          <w:szCs w:val="24"/>
        </w:rPr>
        <w:t>Antitrust L.J</w:t>
      </w:r>
      <w:r w:rsidRPr="00A61658">
        <w:rPr>
          <w:rFonts w:eastAsia="Times New Roman"/>
          <w:color w:val="000000" w:themeColor="text1"/>
          <w:sz w:val="24"/>
          <w:szCs w:val="24"/>
        </w:rPr>
        <w:t>. 947 (2017)) in a journal for whic</w:t>
      </w:r>
      <w:r>
        <w:rPr>
          <w:rFonts w:eastAsia="Times New Roman"/>
          <w:color w:val="000000" w:themeColor="text1"/>
          <w:sz w:val="24"/>
          <w:szCs w:val="24"/>
        </w:rPr>
        <w:t xml:space="preserve">h Wright previously served as </w:t>
      </w:r>
      <w:r w:rsidRPr="00A61658">
        <w:rPr>
          <w:rFonts w:eastAsia="Times New Roman"/>
          <w:color w:val="000000" w:themeColor="text1"/>
          <w:sz w:val="24"/>
          <w:szCs w:val="24"/>
        </w:rPr>
        <w:t xml:space="preserve">Senior Editor. Wright worked with Henry Butler, currently the dean of George Mason’s law school, on the task force behind the 2009 Searle Study, which is consistently cited by Shepherd. </w:t>
      </w:r>
      <w:r w:rsidRPr="00A61658">
        <w:rPr>
          <w:rFonts w:eastAsia="Times New Roman"/>
          <w:i/>
          <w:color w:val="000000" w:themeColor="text1"/>
          <w:sz w:val="24"/>
          <w:szCs w:val="24"/>
        </w:rPr>
        <w:t>See</w:t>
      </w:r>
      <w:r w:rsidRPr="00A61658">
        <w:rPr>
          <w:rFonts w:eastAsia="Times New Roman"/>
          <w:color w:val="000000" w:themeColor="text1"/>
          <w:sz w:val="24"/>
          <w:szCs w:val="24"/>
        </w:rPr>
        <w:t xml:space="preserve"> Shepherd at 13-14; Cooper &amp; Shepherd at 949, 960. Butler also co-authored the paper which serves as Shepherd’s other key source of support. </w:t>
      </w:r>
      <w:r w:rsidRPr="00A61658">
        <w:rPr>
          <w:rFonts w:eastAsia="Times New Roman"/>
          <w:i/>
          <w:color w:val="000000" w:themeColor="text1"/>
          <w:sz w:val="24"/>
          <w:szCs w:val="24"/>
        </w:rPr>
        <w:t>See</w:t>
      </w:r>
      <w:r w:rsidRPr="00A61658">
        <w:rPr>
          <w:rFonts w:eastAsia="Times New Roman"/>
          <w:color w:val="000000" w:themeColor="text1"/>
          <w:sz w:val="24"/>
          <w:szCs w:val="24"/>
        </w:rPr>
        <w:t xml:space="preserve"> Shepherd at 5-9, 14-17 (citing Henry N. Butler &amp; Jason S. Johnston, </w:t>
      </w:r>
      <w:r w:rsidRPr="00A61658">
        <w:rPr>
          <w:rFonts w:eastAsia="Times New Roman"/>
          <w:i/>
          <w:color w:val="000000" w:themeColor="text1"/>
          <w:sz w:val="24"/>
          <w:szCs w:val="24"/>
        </w:rPr>
        <w:t>Reforming State Consumer Protection Liability: An Economic Approach</w:t>
      </w:r>
      <w:r w:rsidRPr="00A61658">
        <w:rPr>
          <w:rFonts w:eastAsia="Times New Roman"/>
          <w:color w:val="000000" w:themeColor="text1"/>
          <w:sz w:val="24"/>
          <w:szCs w:val="24"/>
        </w:rPr>
        <w:t xml:space="preserve">, 2010 </w:t>
      </w:r>
      <w:r w:rsidRPr="00A61658">
        <w:rPr>
          <w:rFonts w:eastAsia="Times New Roman"/>
          <w:smallCaps/>
          <w:color w:val="000000" w:themeColor="text1"/>
          <w:sz w:val="24"/>
          <w:szCs w:val="24"/>
        </w:rPr>
        <w:t>Colum. Bus. L. Rev.</w:t>
      </w:r>
      <w:r w:rsidRPr="00A61658">
        <w:rPr>
          <w:rFonts w:eastAsia="Times New Roman"/>
          <w:color w:val="000000" w:themeColor="text1"/>
          <w:sz w:val="24"/>
          <w:szCs w:val="24"/>
        </w:rPr>
        <w:t xml:space="preserve"> 1 (2010)</w:t>
      </w:r>
      <w:r>
        <w:rPr>
          <w:rFonts w:eastAsia="Times New Roman"/>
          <w:color w:val="000000" w:themeColor="text1"/>
          <w:sz w:val="24"/>
          <w:szCs w:val="24"/>
        </w:rPr>
        <w:t>) (i</w:t>
      </w:r>
      <w:r w:rsidRPr="00A61658">
        <w:rPr>
          <w:rFonts w:eastAsia="Times New Roman"/>
          <w:color w:val="000000" w:themeColor="text1"/>
          <w:sz w:val="24"/>
          <w:szCs w:val="24"/>
        </w:rPr>
        <w:t>n fact, Shepherd’s short piece—th</w:t>
      </w:r>
      <w:r>
        <w:rPr>
          <w:rFonts w:eastAsia="Times New Roman"/>
          <w:color w:val="000000" w:themeColor="text1"/>
          <w:sz w:val="24"/>
          <w:szCs w:val="24"/>
        </w:rPr>
        <w:t xml:space="preserve">e one cited by the ATRA and </w:t>
      </w:r>
      <w:r w:rsidRPr="00A61658">
        <w:rPr>
          <w:rFonts w:eastAsia="Times New Roman"/>
          <w:color w:val="000000" w:themeColor="text1"/>
          <w:sz w:val="24"/>
          <w:szCs w:val="24"/>
        </w:rPr>
        <w:t xml:space="preserve">Mehan—does little more than serve as a summary of the key talking points of </w:t>
      </w:r>
      <w:r>
        <w:rPr>
          <w:rFonts w:eastAsia="Times New Roman"/>
          <w:color w:val="000000" w:themeColor="text1"/>
          <w:sz w:val="24"/>
          <w:szCs w:val="24"/>
        </w:rPr>
        <w:t>the Butler and Johnston article).</w:t>
      </w:r>
      <w:r w:rsidRPr="00A61658">
        <w:rPr>
          <w:rFonts w:eastAsia="Times New Roman"/>
          <w:color w:val="000000" w:themeColor="text1"/>
          <w:sz w:val="24"/>
          <w:szCs w:val="24"/>
        </w:rPr>
        <w:t xml:space="preserve"> </w:t>
      </w:r>
      <w:r>
        <w:rPr>
          <w:rFonts w:eastAsia="Times New Roman"/>
          <w:color w:val="000000" w:themeColor="text1"/>
          <w:sz w:val="24"/>
          <w:szCs w:val="24"/>
        </w:rPr>
        <w:t>Former Missouri Supreme Court Justice Ray Price served as the moderator of the aforementioned ATRA panel as well as on the board overseeing the Searle Civil Justice Institute, which has overseen effectively all of the empirical research cited to support M</w:t>
      </w:r>
      <w:r w:rsidR="00B80052">
        <w:rPr>
          <w:rFonts w:eastAsia="Times New Roman"/>
          <w:color w:val="000000" w:themeColor="text1"/>
          <w:sz w:val="24"/>
          <w:szCs w:val="24"/>
        </w:rPr>
        <w:t>M</w:t>
      </w:r>
      <w:r>
        <w:rPr>
          <w:rFonts w:eastAsia="Times New Roman"/>
          <w:color w:val="000000" w:themeColor="text1"/>
          <w:sz w:val="24"/>
          <w:szCs w:val="24"/>
        </w:rPr>
        <w:t xml:space="preserve">PA reform efforts. </w:t>
      </w:r>
      <w:r w:rsidRPr="002917E3">
        <w:rPr>
          <w:rFonts w:eastAsia="Times New Roman"/>
          <w:b/>
          <w:i/>
          <w:color w:val="000000" w:themeColor="text1"/>
          <w:sz w:val="24"/>
          <w:szCs w:val="24"/>
        </w:rPr>
        <w:t>In short, the academic and empirical bases supporting the recent M</w:t>
      </w:r>
      <w:r w:rsidR="001A30F2">
        <w:rPr>
          <w:rFonts w:eastAsia="Times New Roman"/>
          <w:b/>
          <w:i/>
          <w:color w:val="000000" w:themeColor="text1"/>
          <w:sz w:val="24"/>
          <w:szCs w:val="24"/>
        </w:rPr>
        <w:t>M</w:t>
      </w:r>
      <w:r w:rsidRPr="002917E3">
        <w:rPr>
          <w:rFonts w:eastAsia="Times New Roman"/>
          <w:b/>
          <w:i/>
          <w:color w:val="000000" w:themeColor="text1"/>
          <w:sz w:val="24"/>
          <w:szCs w:val="24"/>
        </w:rPr>
        <w:t>PA reform attempt have been exceedingly narrow, circular, and George Mason-centric.</w:t>
      </w:r>
      <w:r w:rsidRPr="00D16425">
        <w:rPr>
          <w:rFonts w:eastAsia="Times New Roman"/>
          <w:color w:val="000000" w:themeColor="text1"/>
          <w:sz w:val="24"/>
          <w:szCs w:val="24"/>
        </w:rPr>
        <w:t xml:space="preserve">  </w:t>
      </w:r>
    </w:p>
  </w:footnote>
  <w:footnote w:id="35">
    <w:p w:rsidR="00A424DC" w:rsidRPr="00A61658" w:rsidRDefault="00A424DC">
      <w:pPr>
        <w:pStyle w:val="FootnoteText"/>
        <w:rPr>
          <w:sz w:val="24"/>
          <w:szCs w:val="24"/>
        </w:rPr>
      </w:pPr>
      <w:r w:rsidRPr="00A61658">
        <w:rPr>
          <w:rStyle w:val="FootnoteReference"/>
          <w:sz w:val="24"/>
          <w:szCs w:val="24"/>
        </w:rPr>
        <w:footnoteRef/>
      </w:r>
      <w:r w:rsidRPr="00A61658">
        <w:rPr>
          <w:sz w:val="24"/>
          <w:szCs w:val="24"/>
        </w:rPr>
        <w:t xml:space="preserve"> </w:t>
      </w:r>
      <w:r>
        <w:rPr>
          <w:i/>
          <w:sz w:val="24"/>
          <w:szCs w:val="24"/>
        </w:rPr>
        <w:t xml:space="preserve">See </w:t>
      </w:r>
      <w:r w:rsidRPr="00A61658">
        <w:rPr>
          <w:sz w:val="24"/>
          <w:szCs w:val="24"/>
        </w:rPr>
        <w:t xml:space="preserve">Shepherd, </w:t>
      </w:r>
      <w:r w:rsidRPr="00A61658">
        <w:rPr>
          <w:i/>
          <w:sz w:val="24"/>
          <w:szCs w:val="24"/>
        </w:rPr>
        <w:t>supra</w:t>
      </w:r>
      <w:r w:rsidRPr="00A61658">
        <w:rPr>
          <w:sz w:val="24"/>
          <w:szCs w:val="24"/>
        </w:rPr>
        <w:t xml:space="preserve"> note </w:t>
      </w:r>
      <w:r>
        <w:rPr>
          <w:sz w:val="24"/>
          <w:szCs w:val="24"/>
        </w:rPr>
        <w:t>3</w:t>
      </w:r>
      <w:r w:rsidR="00B80052">
        <w:rPr>
          <w:sz w:val="24"/>
          <w:szCs w:val="24"/>
        </w:rPr>
        <w:t>4</w:t>
      </w:r>
      <w:r w:rsidRPr="00A61658">
        <w:rPr>
          <w:sz w:val="24"/>
          <w:szCs w:val="24"/>
        </w:rPr>
        <w:t>, at 15.</w:t>
      </w:r>
    </w:p>
  </w:footnote>
  <w:footnote w:id="36">
    <w:p w:rsidR="00A424DC" w:rsidRPr="00A61658" w:rsidRDefault="00A424DC" w:rsidP="00B30E36">
      <w:pPr>
        <w:pStyle w:val="FootnoteText"/>
        <w:rPr>
          <w:sz w:val="24"/>
          <w:szCs w:val="24"/>
        </w:rPr>
      </w:pPr>
      <w:r w:rsidRPr="00A61658">
        <w:rPr>
          <w:rStyle w:val="FootnoteReference"/>
          <w:sz w:val="24"/>
          <w:szCs w:val="24"/>
        </w:rPr>
        <w:footnoteRef/>
      </w:r>
      <w:r w:rsidRPr="00A61658">
        <w:rPr>
          <w:sz w:val="24"/>
          <w:szCs w:val="24"/>
        </w:rPr>
        <w:t xml:space="preserve"> </w:t>
      </w:r>
      <w:r>
        <w:rPr>
          <w:i/>
          <w:sz w:val="24"/>
          <w:szCs w:val="24"/>
        </w:rPr>
        <w:t>See i</w:t>
      </w:r>
      <w:r w:rsidRPr="00A61658">
        <w:rPr>
          <w:i/>
          <w:sz w:val="24"/>
          <w:szCs w:val="24"/>
        </w:rPr>
        <w:t>d.</w:t>
      </w:r>
      <w:r w:rsidRPr="00A61658">
        <w:rPr>
          <w:sz w:val="24"/>
          <w:szCs w:val="24"/>
        </w:rPr>
        <w:t xml:space="preserve"> </w:t>
      </w:r>
      <w:r>
        <w:rPr>
          <w:sz w:val="24"/>
          <w:szCs w:val="24"/>
        </w:rPr>
        <w:t xml:space="preserve">(citing Searle Civil Justice Institute, </w:t>
      </w:r>
      <w:r w:rsidRPr="00673E40">
        <w:rPr>
          <w:i/>
          <w:sz w:val="24"/>
          <w:szCs w:val="24"/>
        </w:rPr>
        <w:t>State Consumer Protection Acts</w:t>
      </w:r>
      <w:r>
        <w:rPr>
          <w:i/>
          <w:sz w:val="24"/>
          <w:szCs w:val="24"/>
        </w:rPr>
        <w:t xml:space="preserve"> and Costs to Consumers: The Impact of State Consumer Protection Acts on Automobile Insurance Premiums, Preliminary Report</w:t>
      </w:r>
      <w:r>
        <w:rPr>
          <w:sz w:val="24"/>
          <w:szCs w:val="24"/>
        </w:rPr>
        <w:t xml:space="preserve"> 4 (2011)). </w:t>
      </w:r>
    </w:p>
  </w:footnote>
  <w:footnote w:id="37">
    <w:p w:rsidR="00A424DC" w:rsidRPr="00720453" w:rsidRDefault="00A424DC">
      <w:pPr>
        <w:pStyle w:val="FootnoteText"/>
        <w:rPr>
          <w:sz w:val="24"/>
          <w:szCs w:val="24"/>
        </w:rPr>
      </w:pPr>
      <w:r w:rsidRPr="00A61658">
        <w:rPr>
          <w:rStyle w:val="FootnoteReference"/>
          <w:sz w:val="24"/>
          <w:szCs w:val="24"/>
        </w:rPr>
        <w:footnoteRef/>
      </w:r>
      <w:r>
        <w:rPr>
          <w:sz w:val="24"/>
          <w:szCs w:val="24"/>
        </w:rPr>
        <w:t xml:space="preserve"> The statement seems to generally rely on the assumption that the M</w:t>
      </w:r>
      <w:r w:rsidR="001A30F2">
        <w:rPr>
          <w:sz w:val="24"/>
          <w:szCs w:val="24"/>
        </w:rPr>
        <w:t>M</w:t>
      </w:r>
      <w:r>
        <w:rPr>
          <w:sz w:val="24"/>
          <w:szCs w:val="24"/>
        </w:rPr>
        <w:t>PA as currently constituted, because it has given rise to some amount of facially gratuitous litigation, has resulted in socially unproductive</w:t>
      </w:r>
      <w:r w:rsidRPr="007917F0">
        <w:rPr>
          <w:sz w:val="24"/>
          <w:szCs w:val="24"/>
        </w:rPr>
        <w:t xml:space="preserve"> resource allocations at the margin. That is, it effectively ignores any</w:t>
      </w:r>
      <w:r>
        <w:rPr>
          <w:sz w:val="24"/>
          <w:szCs w:val="24"/>
        </w:rPr>
        <w:t xml:space="preserve"> real value</w:t>
      </w:r>
      <w:r w:rsidRPr="007917F0">
        <w:rPr>
          <w:sz w:val="24"/>
          <w:szCs w:val="24"/>
        </w:rPr>
        <w:t xml:space="preserve"> </w:t>
      </w:r>
      <w:r>
        <w:rPr>
          <w:sz w:val="24"/>
          <w:szCs w:val="24"/>
        </w:rPr>
        <w:t>that may have been added</w:t>
      </w:r>
      <w:r w:rsidRPr="007917F0">
        <w:rPr>
          <w:sz w:val="24"/>
          <w:szCs w:val="24"/>
        </w:rPr>
        <w:t xml:space="preserve"> by a relatively expansive M</w:t>
      </w:r>
      <w:r w:rsidR="001A30F2">
        <w:rPr>
          <w:sz w:val="24"/>
          <w:szCs w:val="24"/>
        </w:rPr>
        <w:t>M</w:t>
      </w:r>
      <w:r w:rsidRPr="007917F0">
        <w:rPr>
          <w:sz w:val="24"/>
          <w:szCs w:val="24"/>
        </w:rPr>
        <w:t>PA. Further, it relies upon a sort of</w:t>
      </w:r>
      <w:r>
        <w:rPr>
          <w:sz w:val="24"/>
          <w:szCs w:val="24"/>
        </w:rPr>
        <w:t xml:space="preserve"> </w:t>
      </w:r>
      <w:r w:rsidRPr="007917F0">
        <w:rPr>
          <w:sz w:val="24"/>
          <w:szCs w:val="24"/>
        </w:rPr>
        <w:t xml:space="preserve">free-market idealism that tends to rely upon levels of competition, friction-less </w:t>
      </w:r>
      <w:r w:rsidR="00B80052">
        <w:rPr>
          <w:sz w:val="24"/>
          <w:szCs w:val="24"/>
        </w:rPr>
        <w:t xml:space="preserve">and self-correcting </w:t>
      </w:r>
      <w:r w:rsidRPr="007917F0">
        <w:rPr>
          <w:sz w:val="24"/>
          <w:szCs w:val="24"/>
        </w:rPr>
        <w:t xml:space="preserve">markets, consumer choice and learning, and business innovation that may well not exist in reality. </w:t>
      </w:r>
    </w:p>
  </w:footnote>
  <w:footnote w:id="38">
    <w:p w:rsidR="00A424DC" w:rsidRPr="002D4749" w:rsidRDefault="00A424DC">
      <w:pPr>
        <w:pStyle w:val="FootnoteText"/>
        <w:rPr>
          <w:sz w:val="24"/>
          <w:szCs w:val="24"/>
        </w:rPr>
      </w:pPr>
      <w:r w:rsidRPr="002D4749">
        <w:rPr>
          <w:rStyle w:val="FootnoteReference"/>
          <w:sz w:val="24"/>
          <w:szCs w:val="24"/>
        </w:rPr>
        <w:footnoteRef/>
      </w:r>
      <w:r w:rsidRPr="002D4749">
        <w:rPr>
          <w:sz w:val="24"/>
          <w:szCs w:val="24"/>
        </w:rPr>
        <w:t xml:space="preserve"> </w:t>
      </w:r>
      <w:r w:rsidRPr="002D4749">
        <w:rPr>
          <w:i/>
          <w:sz w:val="24"/>
          <w:szCs w:val="24"/>
        </w:rPr>
        <w:t xml:space="preserve">See </w:t>
      </w:r>
      <w:r w:rsidRPr="002D4749">
        <w:rPr>
          <w:sz w:val="24"/>
          <w:szCs w:val="24"/>
        </w:rPr>
        <w:t xml:space="preserve">Shepherd, </w:t>
      </w:r>
      <w:r w:rsidRPr="002D4749">
        <w:rPr>
          <w:i/>
          <w:sz w:val="24"/>
          <w:szCs w:val="24"/>
        </w:rPr>
        <w:t>supra</w:t>
      </w:r>
      <w:r w:rsidRPr="002D4749">
        <w:rPr>
          <w:sz w:val="24"/>
          <w:szCs w:val="24"/>
        </w:rPr>
        <w:t xml:space="preserve"> note </w:t>
      </w:r>
      <w:r>
        <w:rPr>
          <w:sz w:val="24"/>
          <w:szCs w:val="24"/>
        </w:rPr>
        <w:t>3</w:t>
      </w:r>
      <w:r w:rsidR="00B80052">
        <w:rPr>
          <w:sz w:val="24"/>
          <w:szCs w:val="24"/>
        </w:rPr>
        <w:t>4</w:t>
      </w:r>
      <w:r w:rsidRPr="002D4749">
        <w:rPr>
          <w:sz w:val="24"/>
          <w:szCs w:val="24"/>
        </w:rPr>
        <w:t xml:space="preserve">, at </w:t>
      </w:r>
      <w:r>
        <w:rPr>
          <w:sz w:val="24"/>
          <w:szCs w:val="24"/>
        </w:rPr>
        <w:t xml:space="preserve">15. </w:t>
      </w:r>
    </w:p>
  </w:footnote>
  <w:footnote w:id="39">
    <w:p w:rsidR="00A424DC" w:rsidRPr="002D4749" w:rsidRDefault="00A424DC">
      <w:pPr>
        <w:pStyle w:val="FootnoteText"/>
        <w:rPr>
          <w:sz w:val="24"/>
          <w:szCs w:val="24"/>
        </w:rPr>
      </w:pPr>
      <w:r w:rsidRPr="002D4749">
        <w:rPr>
          <w:rStyle w:val="FootnoteReference"/>
          <w:sz w:val="24"/>
          <w:szCs w:val="24"/>
        </w:rPr>
        <w:footnoteRef/>
      </w:r>
      <w:r w:rsidRPr="002D4749">
        <w:rPr>
          <w:sz w:val="24"/>
          <w:szCs w:val="24"/>
        </w:rPr>
        <w:t xml:space="preserve"> </w:t>
      </w:r>
      <w:r>
        <w:rPr>
          <w:i/>
          <w:sz w:val="24"/>
          <w:szCs w:val="24"/>
        </w:rPr>
        <w:t>See i</w:t>
      </w:r>
      <w:r w:rsidRPr="002D4749">
        <w:rPr>
          <w:i/>
          <w:sz w:val="24"/>
          <w:szCs w:val="24"/>
        </w:rPr>
        <w:t>d.</w:t>
      </w:r>
      <w:r w:rsidRPr="002D4749">
        <w:rPr>
          <w:sz w:val="24"/>
          <w:szCs w:val="24"/>
        </w:rPr>
        <w:t xml:space="preserve"> at </w:t>
      </w:r>
      <w:r>
        <w:rPr>
          <w:sz w:val="24"/>
          <w:szCs w:val="24"/>
        </w:rPr>
        <w:t xml:space="preserve">2. </w:t>
      </w:r>
    </w:p>
  </w:footnote>
  <w:footnote w:id="40">
    <w:p w:rsidR="00A424DC" w:rsidRPr="002D4749" w:rsidRDefault="00A424DC">
      <w:pPr>
        <w:pStyle w:val="FootnoteText"/>
        <w:rPr>
          <w:sz w:val="24"/>
          <w:szCs w:val="24"/>
        </w:rPr>
      </w:pPr>
      <w:r w:rsidRPr="002D4749">
        <w:rPr>
          <w:rStyle w:val="FootnoteReference"/>
          <w:sz w:val="24"/>
          <w:szCs w:val="24"/>
        </w:rPr>
        <w:footnoteRef/>
      </w:r>
      <w:r w:rsidRPr="002D4749">
        <w:rPr>
          <w:sz w:val="24"/>
          <w:szCs w:val="24"/>
        </w:rPr>
        <w:t xml:space="preserve"> </w:t>
      </w:r>
      <w:r>
        <w:rPr>
          <w:i/>
          <w:sz w:val="24"/>
          <w:szCs w:val="24"/>
        </w:rPr>
        <w:t>See id</w:t>
      </w:r>
      <w:r w:rsidRPr="002D4749">
        <w:rPr>
          <w:sz w:val="24"/>
          <w:szCs w:val="24"/>
        </w:rPr>
        <w:t>.</w:t>
      </w:r>
      <w:r>
        <w:rPr>
          <w:sz w:val="24"/>
          <w:szCs w:val="24"/>
        </w:rPr>
        <w:t xml:space="preserve"> </w:t>
      </w:r>
    </w:p>
  </w:footnote>
  <w:footnote w:id="41">
    <w:p w:rsidR="00A424DC" w:rsidRPr="009F75DA" w:rsidRDefault="00A424DC">
      <w:pPr>
        <w:pStyle w:val="FootnoteText"/>
        <w:rPr>
          <w:sz w:val="24"/>
          <w:szCs w:val="24"/>
        </w:rPr>
      </w:pPr>
      <w:r w:rsidRPr="009F75DA">
        <w:rPr>
          <w:rStyle w:val="FootnoteReference"/>
          <w:sz w:val="24"/>
          <w:szCs w:val="24"/>
        </w:rPr>
        <w:footnoteRef/>
      </w:r>
      <w:r w:rsidRPr="009F75DA">
        <w:rPr>
          <w:sz w:val="24"/>
          <w:szCs w:val="24"/>
        </w:rPr>
        <w:t xml:space="preserve"> </w:t>
      </w:r>
      <w:r>
        <w:rPr>
          <w:sz w:val="24"/>
          <w:szCs w:val="24"/>
        </w:rPr>
        <w:t xml:space="preserve">Most of Shepherd and the ATRA’s criticism concerns private actions and purportedly overzealous plaintiffs’ attorneys, not Attorney General actions, such that the 1973 amendments are most germane to this argument. Why did it take forty or so years for this supposed abuse of the MMPA to occur? </w:t>
      </w:r>
    </w:p>
  </w:footnote>
  <w:footnote w:id="42">
    <w:p w:rsidR="00A424DC" w:rsidRPr="00824D43" w:rsidRDefault="00A424DC">
      <w:pPr>
        <w:pStyle w:val="FootnoteText"/>
        <w:rPr>
          <w:sz w:val="24"/>
          <w:szCs w:val="24"/>
        </w:rPr>
      </w:pPr>
      <w:r w:rsidRPr="002D4749">
        <w:rPr>
          <w:rStyle w:val="FootnoteReference"/>
          <w:sz w:val="24"/>
          <w:szCs w:val="24"/>
        </w:rPr>
        <w:footnoteRef/>
      </w:r>
      <w:r w:rsidRPr="002D4749">
        <w:rPr>
          <w:sz w:val="24"/>
          <w:szCs w:val="24"/>
        </w:rPr>
        <w:t xml:space="preserve"> The ATRA and Chamber of Commerce seem to have directed their ire at the Armstrong </w:t>
      </w:r>
      <w:r>
        <w:rPr>
          <w:sz w:val="24"/>
          <w:szCs w:val="24"/>
        </w:rPr>
        <w:t xml:space="preserve">Law Firm LLC for filing lawsuits pertaining to food ingredients/products. </w:t>
      </w:r>
      <w:r>
        <w:rPr>
          <w:i/>
          <w:sz w:val="24"/>
          <w:szCs w:val="24"/>
        </w:rPr>
        <w:t xml:space="preserve">See, e.g., </w:t>
      </w:r>
      <w:r>
        <w:rPr>
          <w:sz w:val="24"/>
          <w:szCs w:val="24"/>
        </w:rPr>
        <w:t xml:space="preserve">ATRF, </w:t>
      </w:r>
      <w:r>
        <w:rPr>
          <w:i/>
          <w:sz w:val="24"/>
          <w:szCs w:val="24"/>
        </w:rPr>
        <w:t>infra</w:t>
      </w:r>
      <w:r>
        <w:rPr>
          <w:sz w:val="24"/>
          <w:szCs w:val="24"/>
        </w:rPr>
        <w:t xml:space="preserve"> note 6</w:t>
      </w:r>
      <w:r w:rsidR="00096345">
        <w:rPr>
          <w:sz w:val="24"/>
          <w:szCs w:val="24"/>
        </w:rPr>
        <w:t>2</w:t>
      </w:r>
      <w:r>
        <w:rPr>
          <w:sz w:val="24"/>
          <w:szCs w:val="24"/>
        </w:rPr>
        <w:t xml:space="preserve">, at 8. </w:t>
      </w:r>
    </w:p>
  </w:footnote>
  <w:footnote w:id="43">
    <w:p w:rsidR="00A424DC" w:rsidRPr="007106E6" w:rsidRDefault="00A424DC">
      <w:pPr>
        <w:pStyle w:val="FootnoteText"/>
        <w:rPr>
          <w:sz w:val="24"/>
          <w:szCs w:val="24"/>
        </w:rPr>
      </w:pPr>
      <w:r w:rsidRPr="002D4749">
        <w:rPr>
          <w:rStyle w:val="FootnoteReference"/>
          <w:sz w:val="24"/>
          <w:szCs w:val="24"/>
        </w:rPr>
        <w:footnoteRef/>
      </w:r>
      <w:r w:rsidRPr="002D4749">
        <w:rPr>
          <w:sz w:val="24"/>
          <w:szCs w:val="24"/>
        </w:rPr>
        <w:t xml:space="preserve"> </w:t>
      </w:r>
      <w:r w:rsidRPr="002D4749">
        <w:rPr>
          <w:i/>
          <w:sz w:val="24"/>
          <w:szCs w:val="24"/>
        </w:rPr>
        <w:t>See, e.g.,</w:t>
      </w:r>
      <w:r w:rsidRPr="002D4749">
        <w:rPr>
          <w:sz w:val="24"/>
          <w:szCs w:val="24"/>
        </w:rPr>
        <w:t xml:space="preserve"> </w:t>
      </w:r>
      <w:r>
        <w:rPr>
          <w:i/>
          <w:sz w:val="24"/>
          <w:szCs w:val="24"/>
        </w:rPr>
        <w:t>id.</w:t>
      </w:r>
      <w:r>
        <w:rPr>
          <w:sz w:val="24"/>
          <w:szCs w:val="24"/>
        </w:rPr>
        <w:t xml:space="preserve"> at 5-9. </w:t>
      </w:r>
    </w:p>
  </w:footnote>
  <w:footnote w:id="44">
    <w:p w:rsidR="00A424DC" w:rsidRPr="00720453" w:rsidRDefault="00A424DC">
      <w:pPr>
        <w:pStyle w:val="FootnoteText"/>
        <w:rPr>
          <w:sz w:val="24"/>
          <w:szCs w:val="24"/>
        </w:rPr>
      </w:pPr>
      <w:r w:rsidRPr="00720453">
        <w:rPr>
          <w:rStyle w:val="FootnoteReference"/>
          <w:sz w:val="24"/>
          <w:szCs w:val="24"/>
        </w:rPr>
        <w:footnoteRef/>
      </w:r>
      <w:r w:rsidRPr="00720453">
        <w:rPr>
          <w:sz w:val="24"/>
          <w:szCs w:val="24"/>
        </w:rPr>
        <w:t xml:space="preserve"> Consider that, as described and cited above, the ATRA and Chamber of Commerce have directed the bulk of their ire at a suite of food-related lawsuits, overwhelmingly filed by a s</w:t>
      </w:r>
      <w:r>
        <w:rPr>
          <w:sz w:val="24"/>
          <w:szCs w:val="24"/>
        </w:rPr>
        <w:t xml:space="preserve">ingle firm, that they </w:t>
      </w:r>
      <w:r w:rsidRPr="00720453">
        <w:rPr>
          <w:sz w:val="24"/>
          <w:szCs w:val="24"/>
        </w:rPr>
        <w:t xml:space="preserve">have deemed meritless. </w:t>
      </w:r>
      <w:r>
        <w:rPr>
          <w:i/>
          <w:sz w:val="24"/>
          <w:szCs w:val="24"/>
        </w:rPr>
        <w:t>See, e.g., supra</w:t>
      </w:r>
      <w:r>
        <w:rPr>
          <w:sz w:val="24"/>
          <w:szCs w:val="24"/>
        </w:rPr>
        <w:t xml:space="preserve"> note 4</w:t>
      </w:r>
      <w:r w:rsidR="00096345">
        <w:rPr>
          <w:sz w:val="24"/>
          <w:szCs w:val="24"/>
        </w:rPr>
        <w:t>2</w:t>
      </w:r>
      <w:r>
        <w:rPr>
          <w:sz w:val="24"/>
          <w:szCs w:val="24"/>
        </w:rPr>
        <w:t>. They have provided effectively no substance for their M</w:t>
      </w:r>
      <w:r w:rsidR="001A30F2">
        <w:rPr>
          <w:sz w:val="24"/>
          <w:szCs w:val="24"/>
        </w:rPr>
        <w:t>M</w:t>
      </w:r>
      <w:r>
        <w:rPr>
          <w:sz w:val="24"/>
          <w:szCs w:val="24"/>
        </w:rPr>
        <w:t xml:space="preserve">PA-specific conditions beyond referring to the Shepherd short piece. </w:t>
      </w:r>
    </w:p>
  </w:footnote>
  <w:footnote w:id="45">
    <w:p w:rsidR="00A424DC" w:rsidRPr="007541BC" w:rsidRDefault="00A424DC" w:rsidP="00B862B7">
      <w:pPr>
        <w:pStyle w:val="FootnoteText"/>
        <w:rPr>
          <w:sz w:val="24"/>
          <w:szCs w:val="24"/>
        </w:rPr>
      </w:pPr>
      <w:r w:rsidRPr="007541BC">
        <w:rPr>
          <w:rStyle w:val="FootnoteReference"/>
          <w:sz w:val="24"/>
          <w:szCs w:val="24"/>
        </w:rPr>
        <w:footnoteRef/>
      </w:r>
      <w:r w:rsidRPr="007541BC">
        <w:rPr>
          <w:sz w:val="24"/>
          <w:szCs w:val="24"/>
        </w:rPr>
        <w:t xml:space="preserve"> Shepherd, </w:t>
      </w:r>
      <w:r w:rsidRPr="007541BC">
        <w:rPr>
          <w:i/>
          <w:sz w:val="24"/>
          <w:szCs w:val="24"/>
        </w:rPr>
        <w:t>supra</w:t>
      </w:r>
      <w:r w:rsidRPr="007541BC">
        <w:rPr>
          <w:sz w:val="24"/>
          <w:szCs w:val="24"/>
        </w:rPr>
        <w:t xml:space="preserve"> note </w:t>
      </w:r>
      <w:r>
        <w:rPr>
          <w:sz w:val="24"/>
          <w:szCs w:val="24"/>
        </w:rPr>
        <w:t>3</w:t>
      </w:r>
      <w:r w:rsidR="00096345">
        <w:rPr>
          <w:sz w:val="24"/>
          <w:szCs w:val="24"/>
        </w:rPr>
        <w:t>4</w:t>
      </w:r>
      <w:r w:rsidRPr="007541BC">
        <w:rPr>
          <w:sz w:val="24"/>
          <w:szCs w:val="24"/>
        </w:rPr>
        <w:t xml:space="preserve">, at </w:t>
      </w:r>
      <w:r>
        <w:rPr>
          <w:sz w:val="24"/>
          <w:szCs w:val="24"/>
        </w:rPr>
        <w:t>10-11, 13-14</w:t>
      </w:r>
      <w:r w:rsidRPr="007541BC">
        <w:rPr>
          <w:sz w:val="24"/>
          <w:szCs w:val="24"/>
        </w:rPr>
        <w:t xml:space="preserve">. </w:t>
      </w:r>
    </w:p>
  </w:footnote>
  <w:footnote w:id="46">
    <w:p w:rsidR="00A424DC" w:rsidRPr="007541BC" w:rsidRDefault="00A424DC">
      <w:pPr>
        <w:pStyle w:val="FootnoteText"/>
        <w:rPr>
          <w:sz w:val="24"/>
          <w:szCs w:val="24"/>
        </w:rPr>
      </w:pPr>
      <w:r w:rsidRPr="007541BC">
        <w:rPr>
          <w:rStyle w:val="FootnoteReference"/>
          <w:sz w:val="24"/>
          <w:szCs w:val="24"/>
        </w:rPr>
        <w:footnoteRef/>
      </w:r>
      <w:r w:rsidRPr="007541BC">
        <w:rPr>
          <w:sz w:val="24"/>
          <w:szCs w:val="24"/>
        </w:rPr>
        <w:t xml:space="preserve"> </w:t>
      </w:r>
      <w:r w:rsidRPr="007541BC">
        <w:rPr>
          <w:i/>
          <w:sz w:val="24"/>
          <w:szCs w:val="24"/>
        </w:rPr>
        <w:t>Id</w:t>
      </w:r>
      <w:r w:rsidRPr="007541BC">
        <w:rPr>
          <w:sz w:val="24"/>
          <w:szCs w:val="24"/>
        </w:rPr>
        <w:t>. at 2.</w:t>
      </w:r>
    </w:p>
  </w:footnote>
  <w:footnote w:id="47">
    <w:p w:rsidR="00A424DC" w:rsidRPr="007541BC" w:rsidRDefault="00A424DC">
      <w:pPr>
        <w:pStyle w:val="FootnoteText"/>
        <w:rPr>
          <w:sz w:val="24"/>
          <w:szCs w:val="24"/>
        </w:rPr>
      </w:pPr>
      <w:r w:rsidRPr="007541BC">
        <w:rPr>
          <w:rStyle w:val="FootnoteReference"/>
          <w:sz w:val="24"/>
          <w:szCs w:val="24"/>
        </w:rPr>
        <w:footnoteRef/>
      </w:r>
      <w:r w:rsidRPr="007541BC">
        <w:rPr>
          <w:sz w:val="24"/>
          <w:szCs w:val="24"/>
        </w:rPr>
        <w:t xml:space="preserve"> </w:t>
      </w:r>
      <w:r w:rsidRPr="007541BC">
        <w:rPr>
          <w:i/>
          <w:sz w:val="24"/>
          <w:szCs w:val="24"/>
        </w:rPr>
        <w:t>Id.</w:t>
      </w:r>
      <w:r w:rsidRPr="007541BC">
        <w:rPr>
          <w:sz w:val="24"/>
          <w:szCs w:val="24"/>
        </w:rPr>
        <w:t xml:space="preserve"> at 14.</w:t>
      </w:r>
    </w:p>
  </w:footnote>
  <w:footnote w:id="48">
    <w:p w:rsidR="00A424DC" w:rsidRPr="007541BC" w:rsidRDefault="00A424DC">
      <w:pPr>
        <w:pStyle w:val="FootnoteText"/>
        <w:rPr>
          <w:sz w:val="24"/>
          <w:szCs w:val="24"/>
        </w:rPr>
      </w:pPr>
      <w:r w:rsidRPr="007541BC">
        <w:rPr>
          <w:rStyle w:val="FootnoteReference"/>
          <w:sz w:val="24"/>
          <w:szCs w:val="24"/>
        </w:rPr>
        <w:footnoteRef/>
      </w:r>
      <w:r w:rsidRPr="007541BC">
        <w:rPr>
          <w:sz w:val="24"/>
          <w:szCs w:val="24"/>
        </w:rPr>
        <w:t xml:space="preserve"> Searle Study, </w:t>
      </w:r>
      <w:r w:rsidRPr="007541BC">
        <w:rPr>
          <w:i/>
          <w:sz w:val="24"/>
          <w:szCs w:val="24"/>
        </w:rPr>
        <w:t>supra</w:t>
      </w:r>
      <w:r w:rsidRPr="007541BC">
        <w:rPr>
          <w:sz w:val="24"/>
          <w:szCs w:val="24"/>
        </w:rPr>
        <w:t xml:space="preserve"> note </w:t>
      </w:r>
      <w:r>
        <w:rPr>
          <w:sz w:val="24"/>
          <w:szCs w:val="24"/>
        </w:rPr>
        <w:t>3</w:t>
      </w:r>
      <w:r w:rsidR="00096345">
        <w:rPr>
          <w:sz w:val="24"/>
          <w:szCs w:val="24"/>
        </w:rPr>
        <w:t>3</w:t>
      </w:r>
      <w:r w:rsidRPr="007541BC">
        <w:rPr>
          <w:sz w:val="24"/>
          <w:szCs w:val="24"/>
        </w:rPr>
        <w:t xml:space="preserve">, at 24. </w:t>
      </w:r>
      <w:r>
        <w:rPr>
          <w:sz w:val="24"/>
          <w:szCs w:val="24"/>
        </w:rPr>
        <w:t xml:space="preserve">As noted in the study, this disparity is certainly affected, to whatever extent, by reporting differentials between state and federal jurisdictions. </w:t>
      </w:r>
    </w:p>
  </w:footnote>
  <w:footnote w:id="49">
    <w:p w:rsidR="00A424DC" w:rsidRPr="004C3486" w:rsidRDefault="00A424DC">
      <w:pPr>
        <w:pStyle w:val="FootnoteText"/>
        <w:rPr>
          <w:sz w:val="24"/>
          <w:szCs w:val="24"/>
        </w:rPr>
      </w:pPr>
      <w:r w:rsidRPr="007541BC">
        <w:rPr>
          <w:rStyle w:val="FootnoteReference"/>
          <w:sz w:val="24"/>
          <w:szCs w:val="24"/>
        </w:rPr>
        <w:footnoteRef/>
      </w:r>
      <w:r w:rsidRPr="007541BC">
        <w:rPr>
          <w:sz w:val="24"/>
          <w:szCs w:val="24"/>
        </w:rPr>
        <w:t xml:space="preserve"> </w:t>
      </w:r>
      <w:r>
        <w:rPr>
          <w:sz w:val="24"/>
          <w:szCs w:val="24"/>
        </w:rPr>
        <w:t xml:space="preserve">Cooper &amp; Shepherd, </w:t>
      </w:r>
      <w:r>
        <w:rPr>
          <w:i/>
          <w:sz w:val="24"/>
          <w:szCs w:val="24"/>
        </w:rPr>
        <w:t>supra</w:t>
      </w:r>
      <w:r>
        <w:rPr>
          <w:sz w:val="24"/>
          <w:szCs w:val="24"/>
        </w:rPr>
        <w:t xml:space="preserve"> note 3</w:t>
      </w:r>
      <w:r w:rsidR="00096345">
        <w:rPr>
          <w:sz w:val="24"/>
          <w:szCs w:val="24"/>
        </w:rPr>
        <w:t>4</w:t>
      </w:r>
      <w:r>
        <w:rPr>
          <w:sz w:val="24"/>
          <w:szCs w:val="24"/>
        </w:rPr>
        <w:t xml:space="preserve">, at 963. </w:t>
      </w:r>
    </w:p>
  </w:footnote>
  <w:footnote w:id="50">
    <w:p w:rsidR="00A424DC" w:rsidRPr="00F37AD6" w:rsidRDefault="00A424DC">
      <w:pPr>
        <w:pStyle w:val="FootnoteText"/>
        <w:rPr>
          <w:sz w:val="24"/>
          <w:szCs w:val="24"/>
        </w:rPr>
      </w:pPr>
      <w:r w:rsidRPr="00F37AD6">
        <w:rPr>
          <w:rStyle w:val="FootnoteReference"/>
          <w:sz w:val="24"/>
          <w:szCs w:val="24"/>
        </w:rPr>
        <w:footnoteRef/>
      </w:r>
      <w:r w:rsidRPr="00F37AD6">
        <w:rPr>
          <w:sz w:val="24"/>
          <w:szCs w:val="24"/>
        </w:rPr>
        <w:t xml:space="preserve"> </w:t>
      </w:r>
      <w:r w:rsidRPr="007541BC">
        <w:rPr>
          <w:sz w:val="24"/>
          <w:szCs w:val="24"/>
        </w:rPr>
        <w:t xml:space="preserve">Searle Study, </w:t>
      </w:r>
      <w:r w:rsidRPr="007541BC">
        <w:rPr>
          <w:i/>
          <w:sz w:val="24"/>
          <w:szCs w:val="24"/>
        </w:rPr>
        <w:t>supra</w:t>
      </w:r>
      <w:r w:rsidRPr="007541BC">
        <w:rPr>
          <w:sz w:val="24"/>
          <w:szCs w:val="24"/>
        </w:rPr>
        <w:t xml:space="preserve"> note </w:t>
      </w:r>
      <w:r>
        <w:rPr>
          <w:sz w:val="24"/>
          <w:szCs w:val="24"/>
        </w:rPr>
        <w:t>3</w:t>
      </w:r>
      <w:r w:rsidR="00053213">
        <w:rPr>
          <w:sz w:val="24"/>
          <w:szCs w:val="24"/>
        </w:rPr>
        <w:t>3</w:t>
      </w:r>
      <w:r w:rsidRPr="007541BC">
        <w:rPr>
          <w:sz w:val="24"/>
          <w:szCs w:val="24"/>
        </w:rPr>
        <w:t>,</w:t>
      </w:r>
      <w:r w:rsidRPr="00F37AD6">
        <w:rPr>
          <w:sz w:val="24"/>
          <w:szCs w:val="24"/>
        </w:rPr>
        <w:t xml:space="preserve"> at xii, 29.</w:t>
      </w:r>
    </w:p>
  </w:footnote>
  <w:footnote w:id="51">
    <w:p w:rsidR="00A424DC" w:rsidRPr="00D30045" w:rsidRDefault="00A424DC" w:rsidP="0054708D">
      <w:pPr>
        <w:pStyle w:val="FootnoteText"/>
        <w:rPr>
          <w:sz w:val="24"/>
          <w:szCs w:val="24"/>
        </w:rPr>
      </w:pPr>
      <w:r w:rsidRPr="007541BC">
        <w:rPr>
          <w:rStyle w:val="FootnoteReference"/>
          <w:sz w:val="24"/>
          <w:szCs w:val="24"/>
        </w:rPr>
        <w:footnoteRef/>
      </w:r>
      <w:r w:rsidRPr="007541BC">
        <w:rPr>
          <w:sz w:val="24"/>
          <w:szCs w:val="24"/>
        </w:rPr>
        <w:t xml:space="preserve"> Cooper &amp; Shepherd,</w:t>
      </w:r>
      <w:r>
        <w:t xml:space="preserve"> </w:t>
      </w:r>
      <w:r>
        <w:rPr>
          <w:i/>
          <w:sz w:val="24"/>
          <w:szCs w:val="24"/>
        </w:rPr>
        <w:t>supra</w:t>
      </w:r>
      <w:r>
        <w:rPr>
          <w:sz w:val="24"/>
          <w:szCs w:val="24"/>
        </w:rPr>
        <w:t xml:space="preserve"> note 3</w:t>
      </w:r>
      <w:r w:rsidR="00053213">
        <w:rPr>
          <w:sz w:val="24"/>
          <w:szCs w:val="24"/>
        </w:rPr>
        <w:t>4</w:t>
      </w:r>
      <w:r>
        <w:rPr>
          <w:sz w:val="24"/>
          <w:szCs w:val="24"/>
        </w:rPr>
        <w:t>, at 963</w:t>
      </w:r>
      <w:r>
        <w:tab/>
      </w:r>
      <w:r w:rsidRPr="0076362B">
        <w:rPr>
          <w:sz w:val="24"/>
          <w:szCs w:val="24"/>
        </w:rPr>
        <w:t>(emphasis added)</w:t>
      </w:r>
      <w:r>
        <w:rPr>
          <w:sz w:val="24"/>
          <w:szCs w:val="24"/>
        </w:rPr>
        <w:t xml:space="preserve">; 967. It is in this light that Shepherd’s contention that the increase in consumer litigation is unrelated to an increase in deceptive practices seems especially spurious. </w:t>
      </w:r>
      <w:r>
        <w:rPr>
          <w:i/>
          <w:sz w:val="24"/>
          <w:szCs w:val="24"/>
        </w:rPr>
        <w:t>See infra</w:t>
      </w:r>
      <w:r>
        <w:rPr>
          <w:sz w:val="24"/>
          <w:szCs w:val="24"/>
        </w:rPr>
        <w:t xml:space="preserve"> footnote 54. </w:t>
      </w:r>
    </w:p>
  </w:footnote>
  <w:footnote w:id="52">
    <w:p w:rsidR="00A424DC" w:rsidRPr="003943FE" w:rsidRDefault="00A424DC">
      <w:pPr>
        <w:pStyle w:val="FootnoteText"/>
        <w:rPr>
          <w:sz w:val="24"/>
          <w:szCs w:val="24"/>
        </w:rPr>
      </w:pPr>
      <w:r w:rsidRPr="003943FE">
        <w:rPr>
          <w:rStyle w:val="FootnoteReference"/>
          <w:sz w:val="24"/>
          <w:szCs w:val="24"/>
        </w:rPr>
        <w:footnoteRef/>
      </w:r>
      <w:r w:rsidRPr="003943FE">
        <w:rPr>
          <w:sz w:val="24"/>
          <w:szCs w:val="24"/>
        </w:rPr>
        <w:t xml:space="preserve"> </w:t>
      </w:r>
      <w:r>
        <w:rPr>
          <w:sz w:val="24"/>
          <w:szCs w:val="24"/>
        </w:rPr>
        <w:t xml:space="preserve">Searle Study, </w:t>
      </w:r>
      <w:r w:rsidRPr="00B53491">
        <w:rPr>
          <w:i/>
          <w:sz w:val="24"/>
          <w:szCs w:val="24"/>
        </w:rPr>
        <w:t>supra</w:t>
      </w:r>
      <w:r>
        <w:rPr>
          <w:sz w:val="24"/>
          <w:szCs w:val="24"/>
        </w:rPr>
        <w:t xml:space="preserve"> note 3</w:t>
      </w:r>
      <w:r w:rsidR="00053213">
        <w:rPr>
          <w:sz w:val="24"/>
          <w:szCs w:val="24"/>
        </w:rPr>
        <w:t>3</w:t>
      </w:r>
      <w:r>
        <w:rPr>
          <w:sz w:val="24"/>
          <w:szCs w:val="24"/>
        </w:rPr>
        <w:t>, at 2</w:t>
      </w:r>
      <w:r w:rsidRPr="003943FE">
        <w:rPr>
          <w:sz w:val="24"/>
          <w:szCs w:val="24"/>
        </w:rPr>
        <w:t xml:space="preserve">4. </w:t>
      </w:r>
    </w:p>
  </w:footnote>
  <w:footnote w:id="53">
    <w:p w:rsidR="00A424DC" w:rsidRPr="007917F0" w:rsidRDefault="00A424DC">
      <w:pPr>
        <w:pStyle w:val="FootnoteText"/>
        <w:rPr>
          <w:sz w:val="24"/>
          <w:szCs w:val="24"/>
        </w:rPr>
      </w:pPr>
      <w:r w:rsidRPr="007917F0">
        <w:rPr>
          <w:rStyle w:val="FootnoteReference"/>
          <w:sz w:val="24"/>
          <w:szCs w:val="24"/>
        </w:rPr>
        <w:footnoteRef/>
      </w:r>
      <w:r w:rsidRPr="007917F0">
        <w:rPr>
          <w:sz w:val="24"/>
          <w:szCs w:val="24"/>
        </w:rPr>
        <w:t xml:space="preserve"> </w:t>
      </w:r>
      <w:r w:rsidRPr="00B53491">
        <w:rPr>
          <w:sz w:val="24"/>
          <w:szCs w:val="24"/>
        </w:rPr>
        <w:t>Shepherd</w:t>
      </w:r>
      <w:r>
        <w:rPr>
          <w:i/>
          <w:sz w:val="24"/>
          <w:szCs w:val="24"/>
        </w:rPr>
        <w:t xml:space="preserve">, </w:t>
      </w:r>
      <w:r w:rsidRPr="00B53491">
        <w:rPr>
          <w:i/>
          <w:sz w:val="24"/>
          <w:szCs w:val="24"/>
        </w:rPr>
        <w:t>supra</w:t>
      </w:r>
      <w:r>
        <w:rPr>
          <w:sz w:val="24"/>
          <w:szCs w:val="24"/>
        </w:rPr>
        <w:t xml:space="preserve"> note 3</w:t>
      </w:r>
      <w:r w:rsidR="00053213">
        <w:rPr>
          <w:sz w:val="24"/>
          <w:szCs w:val="24"/>
        </w:rPr>
        <w:t>4</w:t>
      </w:r>
      <w:r>
        <w:rPr>
          <w:sz w:val="24"/>
          <w:szCs w:val="24"/>
        </w:rPr>
        <w:t xml:space="preserve">, </w:t>
      </w:r>
      <w:r w:rsidRPr="00B53491">
        <w:rPr>
          <w:sz w:val="24"/>
          <w:szCs w:val="24"/>
        </w:rPr>
        <w:t>at</w:t>
      </w:r>
      <w:r w:rsidRPr="007917F0">
        <w:rPr>
          <w:sz w:val="24"/>
          <w:szCs w:val="24"/>
        </w:rPr>
        <w:t xml:space="preserve"> 14. </w:t>
      </w:r>
    </w:p>
  </w:footnote>
  <w:footnote w:id="54">
    <w:p w:rsidR="00A424DC" w:rsidRPr="008C2F8E" w:rsidRDefault="00A424DC">
      <w:pPr>
        <w:pStyle w:val="FootnoteText"/>
        <w:rPr>
          <w:sz w:val="24"/>
          <w:szCs w:val="24"/>
        </w:rPr>
      </w:pPr>
      <w:r w:rsidRPr="008C2F8E">
        <w:rPr>
          <w:rStyle w:val="FootnoteReference"/>
          <w:sz w:val="24"/>
          <w:szCs w:val="24"/>
        </w:rPr>
        <w:footnoteRef/>
      </w:r>
      <w:r w:rsidRPr="008C2F8E">
        <w:rPr>
          <w:sz w:val="24"/>
          <w:szCs w:val="24"/>
        </w:rPr>
        <w:t xml:space="preserve"> </w:t>
      </w:r>
      <w:r w:rsidRPr="008C2F8E">
        <w:rPr>
          <w:i/>
          <w:sz w:val="24"/>
          <w:szCs w:val="24"/>
        </w:rPr>
        <w:t xml:space="preserve">See, e.g., </w:t>
      </w:r>
      <w:r w:rsidRPr="008C2F8E">
        <w:rPr>
          <w:sz w:val="24"/>
          <w:szCs w:val="24"/>
        </w:rPr>
        <w:t xml:space="preserve">Searle Study, </w:t>
      </w:r>
      <w:r w:rsidRPr="008C2F8E">
        <w:rPr>
          <w:i/>
          <w:sz w:val="24"/>
          <w:szCs w:val="24"/>
        </w:rPr>
        <w:t>supra</w:t>
      </w:r>
      <w:r w:rsidRPr="008C2F8E">
        <w:rPr>
          <w:sz w:val="24"/>
          <w:szCs w:val="24"/>
        </w:rPr>
        <w:t xml:space="preserve"> note</w:t>
      </w:r>
      <w:r>
        <w:rPr>
          <w:sz w:val="24"/>
          <w:szCs w:val="24"/>
        </w:rPr>
        <w:t xml:space="preserve"> 3</w:t>
      </w:r>
      <w:r w:rsidR="00A53706">
        <w:rPr>
          <w:sz w:val="24"/>
          <w:szCs w:val="24"/>
        </w:rPr>
        <w:t>3</w:t>
      </w:r>
      <w:r w:rsidRPr="008C2F8E">
        <w:rPr>
          <w:sz w:val="24"/>
          <w:szCs w:val="24"/>
        </w:rPr>
        <w:t>, at 16-17.</w:t>
      </w:r>
    </w:p>
  </w:footnote>
  <w:footnote w:id="55">
    <w:p w:rsidR="00A424DC" w:rsidRPr="00E76D83" w:rsidRDefault="00A424DC" w:rsidP="0064402F">
      <w:pPr>
        <w:pStyle w:val="FootnoteText"/>
        <w:rPr>
          <w:sz w:val="24"/>
          <w:szCs w:val="24"/>
        </w:rPr>
      </w:pPr>
      <w:r w:rsidRPr="007917F0">
        <w:rPr>
          <w:rStyle w:val="FootnoteReference"/>
          <w:sz w:val="24"/>
          <w:szCs w:val="24"/>
        </w:rPr>
        <w:footnoteRef/>
      </w:r>
      <w:r w:rsidRPr="007917F0">
        <w:rPr>
          <w:sz w:val="24"/>
          <w:szCs w:val="24"/>
        </w:rPr>
        <w:t xml:space="preserve"> </w:t>
      </w:r>
      <w:r w:rsidRPr="00720453">
        <w:rPr>
          <w:sz w:val="24"/>
          <w:szCs w:val="24"/>
        </w:rPr>
        <w:t xml:space="preserve">Shepherd, </w:t>
      </w:r>
      <w:r w:rsidRPr="00720453">
        <w:rPr>
          <w:i/>
          <w:sz w:val="24"/>
          <w:szCs w:val="24"/>
        </w:rPr>
        <w:t>supra</w:t>
      </w:r>
      <w:r>
        <w:rPr>
          <w:sz w:val="24"/>
          <w:szCs w:val="24"/>
        </w:rPr>
        <w:t xml:space="preserve"> note 3</w:t>
      </w:r>
      <w:r w:rsidR="00A53706">
        <w:rPr>
          <w:sz w:val="24"/>
          <w:szCs w:val="24"/>
        </w:rPr>
        <w:t>4</w:t>
      </w:r>
      <w:r>
        <w:rPr>
          <w:sz w:val="24"/>
          <w:szCs w:val="24"/>
        </w:rPr>
        <w:t xml:space="preserve">, </w:t>
      </w:r>
      <w:r w:rsidRPr="007917F0">
        <w:rPr>
          <w:sz w:val="24"/>
          <w:szCs w:val="24"/>
        </w:rPr>
        <w:t xml:space="preserve">at </w:t>
      </w:r>
      <w:r>
        <w:rPr>
          <w:sz w:val="24"/>
          <w:szCs w:val="24"/>
        </w:rPr>
        <w:t xml:space="preserve">13. </w:t>
      </w:r>
      <w:r w:rsidRPr="00FE401F">
        <w:rPr>
          <w:b/>
          <w:i/>
          <w:sz w:val="24"/>
          <w:szCs w:val="24"/>
        </w:rPr>
        <w:t>This is a particularly important conclusion to leave unsubstantiated</w:t>
      </w:r>
      <w:r>
        <w:rPr>
          <w:sz w:val="24"/>
          <w:szCs w:val="24"/>
        </w:rPr>
        <w:t xml:space="preserve">. It seems to stem from the logic that, because consumer litigation apparently </w:t>
      </w:r>
      <w:r w:rsidRPr="00E76D83">
        <w:rPr>
          <w:sz w:val="24"/>
          <w:szCs w:val="24"/>
        </w:rPr>
        <w:t xml:space="preserve">outpaced general and tort litigation, this necessarily means that “the increase in consumer protection litigation is not likely the result of more dangerous products, more seller misrepresentations or demographic changes”—this assertion makes no sense whatsoever without further substantiation, which is not given here. </w:t>
      </w:r>
    </w:p>
  </w:footnote>
  <w:footnote w:id="56">
    <w:p w:rsidR="00A424DC" w:rsidRPr="00E76D83" w:rsidRDefault="00A424DC" w:rsidP="0064402F">
      <w:pPr>
        <w:pStyle w:val="FootnoteText"/>
        <w:rPr>
          <w:sz w:val="24"/>
          <w:szCs w:val="24"/>
        </w:rPr>
      </w:pPr>
      <w:r w:rsidRPr="00E76D83">
        <w:rPr>
          <w:rStyle w:val="FootnoteReference"/>
          <w:sz w:val="24"/>
          <w:szCs w:val="24"/>
        </w:rPr>
        <w:footnoteRef/>
      </w:r>
      <w:r w:rsidRPr="00E76D83">
        <w:rPr>
          <w:sz w:val="24"/>
          <w:szCs w:val="24"/>
        </w:rPr>
        <w:t xml:space="preserve"> </w:t>
      </w:r>
      <w:r w:rsidRPr="00E76D83">
        <w:rPr>
          <w:i/>
          <w:sz w:val="24"/>
          <w:szCs w:val="24"/>
        </w:rPr>
        <w:t>See id.</w:t>
      </w:r>
      <w:r w:rsidRPr="00E76D83">
        <w:rPr>
          <w:sz w:val="24"/>
          <w:szCs w:val="24"/>
        </w:rPr>
        <w:t xml:space="preserve"> at 11-12. </w:t>
      </w:r>
    </w:p>
  </w:footnote>
  <w:footnote w:id="57">
    <w:p w:rsidR="00A424DC" w:rsidRPr="00E76D83" w:rsidRDefault="00A424DC">
      <w:pPr>
        <w:pStyle w:val="FootnoteText"/>
        <w:rPr>
          <w:sz w:val="24"/>
          <w:szCs w:val="24"/>
        </w:rPr>
      </w:pPr>
      <w:r w:rsidRPr="00E76D83">
        <w:rPr>
          <w:rStyle w:val="FootnoteReference"/>
          <w:sz w:val="24"/>
          <w:szCs w:val="24"/>
        </w:rPr>
        <w:footnoteRef/>
      </w:r>
      <w:r w:rsidRPr="00E76D83">
        <w:rPr>
          <w:sz w:val="24"/>
          <w:szCs w:val="24"/>
        </w:rPr>
        <w:t xml:space="preserve"> </w:t>
      </w:r>
      <w:r w:rsidRPr="00E76D83">
        <w:rPr>
          <w:i/>
          <w:sz w:val="24"/>
          <w:szCs w:val="24"/>
        </w:rPr>
        <w:t>Id.</w:t>
      </w:r>
      <w:r w:rsidRPr="00E76D83">
        <w:rPr>
          <w:sz w:val="24"/>
          <w:szCs w:val="24"/>
        </w:rPr>
        <w:t xml:space="preserve"> at 11. </w:t>
      </w:r>
    </w:p>
  </w:footnote>
  <w:footnote w:id="58">
    <w:p w:rsidR="00A424DC" w:rsidRPr="00E76D83" w:rsidRDefault="00A424DC">
      <w:pPr>
        <w:pStyle w:val="FootnoteText"/>
        <w:rPr>
          <w:sz w:val="24"/>
          <w:szCs w:val="24"/>
        </w:rPr>
      </w:pPr>
      <w:r w:rsidRPr="00E76D83">
        <w:rPr>
          <w:rStyle w:val="FootnoteReference"/>
          <w:sz w:val="24"/>
          <w:szCs w:val="24"/>
        </w:rPr>
        <w:footnoteRef/>
      </w:r>
      <w:r w:rsidRPr="00E76D83">
        <w:rPr>
          <w:i/>
          <w:sz w:val="24"/>
          <w:szCs w:val="24"/>
        </w:rPr>
        <w:t>See</w:t>
      </w:r>
      <w:r w:rsidRPr="00E76D83">
        <w:rPr>
          <w:sz w:val="24"/>
          <w:szCs w:val="24"/>
        </w:rPr>
        <w:t xml:space="preserve"> Ports Petroleum Co., Inc. of Ohio v. Nixon, 37 S.W.3d 237, 240 (Mo. 2001).</w:t>
      </w:r>
    </w:p>
  </w:footnote>
  <w:footnote w:id="59">
    <w:p w:rsidR="00A424DC" w:rsidRPr="00E76D83" w:rsidRDefault="00A424DC">
      <w:pPr>
        <w:pStyle w:val="FootnoteText"/>
        <w:rPr>
          <w:sz w:val="24"/>
          <w:szCs w:val="24"/>
        </w:rPr>
      </w:pPr>
      <w:r w:rsidRPr="00E76D83">
        <w:rPr>
          <w:rStyle w:val="FootnoteReference"/>
          <w:sz w:val="24"/>
          <w:szCs w:val="24"/>
        </w:rPr>
        <w:footnoteRef/>
      </w:r>
      <w:r w:rsidRPr="00E76D83">
        <w:rPr>
          <w:sz w:val="24"/>
          <w:szCs w:val="24"/>
        </w:rPr>
        <w:t xml:space="preserve"> </w:t>
      </w:r>
      <w:r w:rsidRPr="00E76D83">
        <w:rPr>
          <w:i/>
          <w:sz w:val="24"/>
          <w:szCs w:val="24"/>
        </w:rPr>
        <w:t>Id.</w:t>
      </w:r>
      <w:r w:rsidRPr="00E76D83">
        <w:rPr>
          <w:sz w:val="24"/>
          <w:szCs w:val="24"/>
        </w:rPr>
        <w:t xml:space="preserve"> at 241. </w:t>
      </w:r>
    </w:p>
  </w:footnote>
  <w:footnote w:id="60">
    <w:p w:rsidR="00A424DC" w:rsidRPr="00E76D83" w:rsidRDefault="00A424DC">
      <w:pPr>
        <w:pStyle w:val="FootnoteText"/>
        <w:rPr>
          <w:sz w:val="24"/>
          <w:szCs w:val="24"/>
        </w:rPr>
      </w:pPr>
      <w:r w:rsidRPr="00E76D83">
        <w:rPr>
          <w:rStyle w:val="FootnoteReference"/>
          <w:sz w:val="24"/>
          <w:szCs w:val="24"/>
        </w:rPr>
        <w:footnoteRef/>
      </w:r>
      <w:r w:rsidRPr="00E76D83">
        <w:rPr>
          <w:sz w:val="24"/>
          <w:szCs w:val="24"/>
        </w:rPr>
        <w:t xml:space="preserve"> </w:t>
      </w:r>
      <w:r w:rsidRPr="00E76D83">
        <w:rPr>
          <w:i/>
          <w:sz w:val="24"/>
          <w:szCs w:val="24"/>
        </w:rPr>
        <w:t>See id.</w:t>
      </w:r>
      <w:r w:rsidRPr="00E76D83">
        <w:rPr>
          <w:sz w:val="24"/>
          <w:szCs w:val="24"/>
        </w:rPr>
        <w:t xml:space="preserve"> at 239-41. </w:t>
      </w:r>
    </w:p>
  </w:footnote>
  <w:footnote w:id="61">
    <w:p w:rsidR="00A424DC" w:rsidRPr="00E76D83" w:rsidRDefault="00A424DC">
      <w:pPr>
        <w:pStyle w:val="FootnoteText"/>
      </w:pPr>
      <w:r w:rsidRPr="00E76D83">
        <w:rPr>
          <w:rStyle w:val="FootnoteReference"/>
          <w:sz w:val="24"/>
          <w:szCs w:val="24"/>
        </w:rPr>
        <w:footnoteRef/>
      </w:r>
      <w:r w:rsidRPr="00E76D83">
        <w:rPr>
          <w:sz w:val="24"/>
          <w:szCs w:val="24"/>
        </w:rPr>
        <w:t xml:space="preserve"> </w:t>
      </w:r>
      <w:r w:rsidRPr="00E76D83">
        <w:rPr>
          <w:i/>
          <w:sz w:val="24"/>
          <w:szCs w:val="24"/>
        </w:rPr>
        <w:t>See id.</w:t>
      </w:r>
    </w:p>
  </w:footnote>
  <w:footnote w:id="62">
    <w:p w:rsidR="00A424DC" w:rsidRPr="00B67587" w:rsidRDefault="00A424DC">
      <w:pPr>
        <w:pStyle w:val="FootnoteText"/>
        <w:rPr>
          <w:sz w:val="24"/>
          <w:szCs w:val="24"/>
        </w:rPr>
      </w:pPr>
      <w:r w:rsidRPr="00B67587">
        <w:rPr>
          <w:rStyle w:val="FootnoteReference"/>
          <w:sz w:val="24"/>
          <w:szCs w:val="24"/>
        </w:rPr>
        <w:footnoteRef/>
      </w:r>
      <w:r w:rsidRPr="00B67587">
        <w:rPr>
          <w:sz w:val="24"/>
          <w:szCs w:val="24"/>
        </w:rPr>
        <w:t xml:space="preserve"> ATR Foundation</w:t>
      </w:r>
      <w:r>
        <w:rPr>
          <w:sz w:val="24"/>
          <w:szCs w:val="24"/>
        </w:rPr>
        <w:t xml:space="preserve"> (ATRF)</w:t>
      </w:r>
      <w:r w:rsidRPr="00B67587">
        <w:rPr>
          <w:sz w:val="24"/>
          <w:szCs w:val="24"/>
        </w:rPr>
        <w:t xml:space="preserve">, </w:t>
      </w:r>
      <w:r w:rsidRPr="00B67587">
        <w:rPr>
          <w:i/>
          <w:sz w:val="24"/>
          <w:szCs w:val="24"/>
        </w:rPr>
        <w:t>Judicial Hellholes, 2016-2017</w:t>
      </w:r>
      <w:r w:rsidRPr="00B67587">
        <w:rPr>
          <w:sz w:val="24"/>
          <w:szCs w:val="24"/>
        </w:rPr>
        <w:t xml:space="preserve"> 8, </w:t>
      </w:r>
      <w:hyperlink r:id="rId12" w:history="1">
        <w:r w:rsidRPr="00B67587">
          <w:rPr>
            <w:rStyle w:val="Hyperlink"/>
            <w:sz w:val="24"/>
            <w:szCs w:val="24"/>
          </w:rPr>
          <w:t>http://www.judicialhellholes.org/wp-content/uploads/2016/12/JudicialHellholes-2016.pdf</w:t>
        </w:r>
      </w:hyperlink>
      <w:r>
        <w:rPr>
          <w:sz w:val="24"/>
          <w:szCs w:val="24"/>
        </w:rPr>
        <w:t xml:space="preserve">. This </w:t>
      </w:r>
      <w:r w:rsidRPr="00B67587">
        <w:rPr>
          <w:sz w:val="24"/>
          <w:szCs w:val="24"/>
        </w:rPr>
        <w:t>publication is little more than a propaganda piece.</w:t>
      </w:r>
      <w:r>
        <w:rPr>
          <w:sz w:val="24"/>
          <w:szCs w:val="24"/>
        </w:rPr>
        <w:t xml:space="preserve"> </w:t>
      </w:r>
      <w:r w:rsidRPr="00B67587">
        <w:rPr>
          <w:sz w:val="24"/>
          <w:szCs w:val="24"/>
        </w:rPr>
        <w:t xml:space="preserve">Notably, it optimistically determined that “2017 brings fresh possibilities” because  “former Navy SEAL, author, and nonprofit CEO Eric Greitens” was the newly elected governor. Of course, Greitens </w:t>
      </w:r>
      <w:r>
        <w:rPr>
          <w:sz w:val="24"/>
          <w:szCs w:val="24"/>
        </w:rPr>
        <w:t>quickly</w:t>
      </w:r>
      <w:r w:rsidRPr="00B67587">
        <w:rPr>
          <w:sz w:val="24"/>
          <w:szCs w:val="24"/>
        </w:rPr>
        <w:t xml:space="preserve"> resigned after a scandal so perhaps all </w:t>
      </w:r>
      <w:r w:rsidRPr="00B67587">
        <w:rPr>
          <w:i/>
          <w:sz w:val="24"/>
          <w:szCs w:val="24"/>
        </w:rPr>
        <w:t>is</w:t>
      </w:r>
      <w:r w:rsidRPr="00B67587">
        <w:rPr>
          <w:sz w:val="24"/>
          <w:szCs w:val="24"/>
        </w:rPr>
        <w:t xml:space="preserve"> lost for St. Louis. </w:t>
      </w:r>
      <w:r>
        <w:rPr>
          <w:sz w:val="24"/>
          <w:szCs w:val="24"/>
        </w:rPr>
        <w:t xml:space="preserve">It may also be noted again that the vast bulk of the cited growth in consumer litigation occurred in federal court, which the ATRA’s “observers” maintain are far more likely to dismiss meritless claims.  </w:t>
      </w:r>
    </w:p>
  </w:footnote>
  <w:footnote w:id="63">
    <w:p w:rsidR="00A424DC" w:rsidRPr="00B67587" w:rsidRDefault="00A424DC">
      <w:pPr>
        <w:pStyle w:val="FootnoteText"/>
        <w:rPr>
          <w:sz w:val="24"/>
          <w:szCs w:val="24"/>
        </w:rPr>
      </w:pPr>
      <w:r w:rsidRPr="00B67587">
        <w:rPr>
          <w:rStyle w:val="FootnoteReference"/>
          <w:sz w:val="24"/>
          <w:szCs w:val="24"/>
        </w:rPr>
        <w:footnoteRef/>
      </w:r>
      <w:r w:rsidRPr="00B67587">
        <w:rPr>
          <w:sz w:val="24"/>
          <w:szCs w:val="24"/>
        </w:rPr>
        <w:t xml:space="preserve"> </w:t>
      </w:r>
      <w:r w:rsidRPr="00B67587">
        <w:rPr>
          <w:i/>
          <w:sz w:val="24"/>
          <w:szCs w:val="24"/>
        </w:rPr>
        <w:t xml:space="preserve">See id. </w:t>
      </w:r>
      <w:r w:rsidRPr="00B67587">
        <w:rPr>
          <w:sz w:val="24"/>
          <w:szCs w:val="24"/>
        </w:rPr>
        <w:t xml:space="preserve">at 8. </w:t>
      </w:r>
    </w:p>
  </w:footnote>
  <w:footnote w:id="64">
    <w:p w:rsidR="00A424DC" w:rsidRPr="00B67587" w:rsidRDefault="00A424DC">
      <w:pPr>
        <w:pStyle w:val="FootnoteText"/>
        <w:rPr>
          <w:sz w:val="24"/>
          <w:szCs w:val="24"/>
        </w:rPr>
      </w:pPr>
      <w:r w:rsidRPr="00B67587">
        <w:rPr>
          <w:rStyle w:val="FootnoteReference"/>
          <w:sz w:val="24"/>
          <w:szCs w:val="24"/>
        </w:rPr>
        <w:footnoteRef/>
      </w:r>
      <w:r w:rsidRPr="00B67587">
        <w:rPr>
          <w:sz w:val="24"/>
          <w:szCs w:val="24"/>
        </w:rPr>
        <w:t xml:space="preserve"> </w:t>
      </w:r>
      <w:r w:rsidRPr="00B67587">
        <w:rPr>
          <w:i/>
          <w:sz w:val="24"/>
          <w:szCs w:val="24"/>
        </w:rPr>
        <w:t>See, e.g., id.</w:t>
      </w:r>
      <w:r w:rsidRPr="00B67587">
        <w:rPr>
          <w:sz w:val="24"/>
          <w:szCs w:val="24"/>
        </w:rPr>
        <w:t xml:space="preserve"> at 7-8 (this criticism focuses on allegedly dubious food-product lawsuits filed by a single St. Louis firm). </w:t>
      </w:r>
    </w:p>
  </w:footnote>
  <w:footnote w:id="65">
    <w:p w:rsidR="00A424DC" w:rsidRPr="00B67587" w:rsidRDefault="00A424DC">
      <w:pPr>
        <w:pStyle w:val="FootnoteText"/>
        <w:rPr>
          <w:sz w:val="24"/>
          <w:szCs w:val="24"/>
        </w:rPr>
      </w:pPr>
      <w:r w:rsidRPr="00B67587">
        <w:rPr>
          <w:rStyle w:val="FootnoteReference"/>
          <w:sz w:val="24"/>
          <w:szCs w:val="24"/>
        </w:rPr>
        <w:footnoteRef/>
      </w:r>
      <w:r w:rsidRPr="00B67587">
        <w:rPr>
          <w:sz w:val="24"/>
          <w:szCs w:val="24"/>
        </w:rPr>
        <w:t xml:space="preserve"> Mehan, </w:t>
      </w:r>
      <w:r w:rsidRPr="00B67587">
        <w:rPr>
          <w:i/>
          <w:sz w:val="24"/>
          <w:szCs w:val="24"/>
        </w:rPr>
        <w:t>supra</w:t>
      </w:r>
      <w:r w:rsidRPr="00B67587">
        <w:rPr>
          <w:sz w:val="24"/>
          <w:szCs w:val="24"/>
        </w:rPr>
        <w:t xml:space="preserve"> note </w:t>
      </w:r>
      <w:r>
        <w:rPr>
          <w:sz w:val="24"/>
          <w:szCs w:val="24"/>
        </w:rPr>
        <w:t>3</w:t>
      </w:r>
      <w:r w:rsidR="00B455EF">
        <w:rPr>
          <w:sz w:val="24"/>
          <w:szCs w:val="24"/>
        </w:rPr>
        <w:t>4</w:t>
      </w:r>
      <w:r w:rsidRPr="00B67587">
        <w:rPr>
          <w:sz w:val="24"/>
          <w:szCs w:val="24"/>
        </w:rPr>
        <w:t xml:space="preserve">. </w:t>
      </w:r>
    </w:p>
  </w:footnote>
  <w:footnote w:id="66">
    <w:p w:rsidR="00A424DC" w:rsidRPr="00B67587" w:rsidRDefault="00A424DC">
      <w:pPr>
        <w:pStyle w:val="FootnoteText"/>
        <w:rPr>
          <w:sz w:val="24"/>
          <w:szCs w:val="24"/>
        </w:rPr>
      </w:pPr>
      <w:r w:rsidRPr="00B67587">
        <w:rPr>
          <w:rStyle w:val="FootnoteReference"/>
          <w:sz w:val="24"/>
          <w:szCs w:val="24"/>
        </w:rPr>
        <w:footnoteRef/>
      </w:r>
      <w:r w:rsidRPr="00B67587">
        <w:rPr>
          <w:sz w:val="24"/>
          <w:szCs w:val="24"/>
        </w:rPr>
        <w:t xml:space="preserve"> Shepherd, supra note </w:t>
      </w:r>
      <w:r>
        <w:rPr>
          <w:sz w:val="24"/>
          <w:szCs w:val="24"/>
        </w:rPr>
        <w:t>3</w:t>
      </w:r>
      <w:r w:rsidR="00B455EF">
        <w:rPr>
          <w:sz w:val="24"/>
          <w:szCs w:val="24"/>
        </w:rPr>
        <w:t>4</w:t>
      </w:r>
      <w:r w:rsidRPr="00B67587">
        <w:rPr>
          <w:sz w:val="24"/>
          <w:szCs w:val="24"/>
        </w:rPr>
        <w:t>, at 16.</w:t>
      </w:r>
    </w:p>
  </w:footnote>
  <w:footnote w:id="67">
    <w:p w:rsidR="00A424DC" w:rsidRPr="00283FAC" w:rsidRDefault="00A424DC">
      <w:pPr>
        <w:pStyle w:val="FootnoteText"/>
        <w:rPr>
          <w:sz w:val="24"/>
          <w:szCs w:val="24"/>
        </w:rPr>
      </w:pPr>
      <w:r w:rsidRPr="00B67587">
        <w:rPr>
          <w:rStyle w:val="FootnoteReference"/>
          <w:sz w:val="24"/>
          <w:szCs w:val="24"/>
        </w:rPr>
        <w:footnoteRef/>
      </w:r>
      <w:r w:rsidRPr="00B67587">
        <w:rPr>
          <w:sz w:val="24"/>
          <w:szCs w:val="24"/>
        </w:rPr>
        <w:t xml:space="preserve"> </w:t>
      </w:r>
      <w:r w:rsidRPr="00B67587">
        <w:rPr>
          <w:i/>
          <w:sz w:val="24"/>
          <w:szCs w:val="24"/>
        </w:rPr>
        <w:t>See</w:t>
      </w:r>
      <w:r w:rsidRPr="00B67587">
        <w:rPr>
          <w:sz w:val="24"/>
          <w:szCs w:val="24"/>
        </w:rPr>
        <w:t xml:space="preserve"> </w:t>
      </w:r>
      <w:r w:rsidRPr="00B67587">
        <w:rPr>
          <w:i/>
          <w:sz w:val="24"/>
          <w:szCs w:val="24"/>
        </w:rPr>
        <w:t>id.</w:t>
      </w:r>
      <w:r>
        <w:rPr>
          <w:sz w:val="24"/>
          <w:szCs w:val="24"/>
        </w:rPr>
        <w:t xml:space="preserve"> </w:t>
      </w:r>
    </w:p>
  </w:footnote>
  <w:footnote w:id="68">
    <w:p w:rsidR="00A424DC" w:rsidRPr="00283FAC" w:rsidRDefault="00A424DC">
      <w:pPr>
        <w:pStyle w:val="FootnoteText"/>
        <w:rPr>
          <w:sz w:val="24"/>
          <w:szCs w:val="24"/>
        </w:rPr>
      </w:pPr>
      <w:r w:rsidRPr="00283FAC">
        <w:rPr>
          <w:rStyle w:val="FootnoteReference"/>
          <w:sz w:val="24"/>
          <w:szCs w:val="24"/>
        </w:rPr>
        <w:footnoteRef/>
      </w:r>
      <w:r w:rsidRPr="00283FAC">
        <w:rPr>
          <w:sz w:val="24"/>
          <w:szCs w:val="24"/>
        </w:rPr>
        <w:t xml:space="preserve"> </w:t>
      </w:r>
      <w:r w:rsidRPr="00283FAC">
        <w:rPr>
          <w:i/>
          <w:sz w:val="24"/>
          <w:szCs w:val="24"/>
        </w:rPr>
        <w:t>See id.</w:t>
      </w:r>
      <w:r>
        <w:rPr>
          <w:sz w:val="24"/>
          <w:szCs w:val="24"/>
        </w:rPr>
        <w:t xml:space="preserve"> Indeed, as noted above, the criticism of frivolous lawsuits has centered on one firm in St. Louis. There is no robust evidence offered that a self-perpetuating cycle of frivolous lawsuits has taken hold in Missouri. Even if there </w:t>
      </w:r>
      <w:r w:rsidRPr="00DF325A">
        <w:rPr>
          <w:i/>
          <w:sz w:val="24"/>
          <w:szCs w:val="24"/>
        </w:rPr>
        <w:t>were</w:t>
      </w:r>
      <w:r>
        <w:rPr>
          <w:sz w:val="24"/>
          <w:szCs w:val="24"/>
        </w:rPr>
        <w:t xml:space="preserve"> meaningful evidence of a self-perpetuating cycle of frivolous consumer litigation in Missouri, it would be extremely useful to know whether it was evenly distributed across the state and, accordingly, how reliant it was on particular judicial interpretations versus MMPA construction per se. </w:t>
      </w:r>
    </w:p>
  </w:footnote>
  <w:footnote w:id="69">
    <w:p w:rsidR="00A424DC" w:rsidRPr="00EC0465" w:rsidRDefault="00A424DC">
      <w:pPr>
        <w:pStyle w:val="FootnoteText"/>
        <w:rPr>
          <w:sz w:val="24"/>
          <w:szCs w:val="24"/>
        </w:rPr>
      </w:pPr>
      <w:r w:rsidRPr="00283FAC">
        <w:rPr>
          <w:rStyle w:val="FootnoteReference"/>
          <w:sz w:val="24"/>
          <w:szCs w:val="24"/>
        </w:rPr>
        <w:footnoteRef/>
      </w:r>
      <w:r w:rsidRPr="00283FAC">
        <w:rPr>
          <w:sz w:val="24"/>
          <w:szCs w:val="24"/>
        </w:rPr>
        <w:t xml:space="preserve"> </w:t>
      </w:r>
      <w:r>
        <w:rPr>
          <w:i/>
          <w:sz w:val="24"/>
          <w:szCs w:val="24"/>
        </w:rPr>
        <w:t>See id.</w:t>
      </w:r>
      <w:r>
        <w:rPr>
          <w:sz w:val="24"/>
          <w:szCs w:val="24"/>
        </w:rPr>
        <w:t xml:space="preserve"> at 15. </w:t>
      </w:r>
    </w:p>
  </w:footnote>
  <w:footnote w:id="70">
    <w:p w:rsidR="00A424DC" w:rsidRPr="00C13631" w:rsidRDefault="00A424DC">
      <w:pPr>
        <w:pStyle w:val="FootnoteText"/>
        <w:rPr>
          <w:sz w:val="24"/>
          <w:szCs w:val="24"/>
        </w:rPr>
      </w:pPr>
      <w:r w:rsidRPr="00C13631">
        <w:rPr>
          <w:rStyle w:val="FootnoteReference"/>
          <w:sz w:val="24"/>
          <w:szCs w:val="24"/>
        </w:rPr>
        <w:footnoteRef/>
      </w:r>
      <w:r w:rsidRPr="00C13631">
        <w:rPr>
          <w:sz w:val="24"/>
          <w:szCs w:val="24"/>
        </w:rPr>
        <w:t xml:space="preserve"> </w:t>
      </w:r>
      <w:r w:rsidRPr="00C13631">
        <w:rPr>
          <w:i/>
          <w:sz w:val="24"/>
          <w:szCs w:val="24"/>
        </w:rPr>
        <w:t xml:space="preserve">See </w:t>
      </w:r>
      <w:r>
        <w:rPr>
          <w:sz w:val="24"/>
          <w:szCs w:val="24"/>
        </w:rPr>
        <w:t>ATRF</w:t>
      </w:r>
      <w:r w:rsidRPr="00C13631">
        <w:rPr>
          <w:sz w:val="24"/>
          <w:szCs w:val="24"/>
        </w:rPr>
        <w:t xml:space="preserve">, </w:t>
      </w:r>
      <w:r w:rsidRPr="00C13631">
        <w:rPr>
          <w:i/>
          <w:sz w:val="24"/>
          <w:szCs w:val="24"/>
        </w:rPr>
        <w:t>supra</w:t>
      </w:r>
      <w:r w:rsidRPr="00C13631">
        <w:rPr>
          <w:sz w:val="24"/>
          <w:szCs w:val="24"/>
        </w:rPr>
        <w:t xml:space="preserve"> note  </w:t>
      </w:r>
      <w:r>
        <w:rPr>
          <w:sz w:val="24"/>
          <w:szCs w:val="24"/>
        </w:rPr>
        <w:t>6</w:t>
      </w:r>
      <w:r w:rsidR="00B455EF">
        <w:rPr>
          <w:sz w:val="24"/>
          <w:szCs w:val="24"/>
        </w:rPr>
        <w:t>2</w:t>
      </w:r>
      <w:r>
        <w:rPr>
          <w:sz w:val="24"/>
          <w:szCs w:val="24"/>
        </w:rPr>
        <w:t xml:space="preserve">, at 8. </w:t>
      </w:r>
    </w:p>
  </w:footnote>
  <w:footnote w:id="71">
    <w:p w:rsidR="00A424DC" w:rsidRPr="00C13631" w:rsidRDefault="00A424DC">
      <w:pPr>
        <w:pStyle w:val="FootnoteText"/>
        <w:rPr>
          <w:sz w:val="24"/>
          <w:szCs w:val="24"/>
        </w:rPr>
      </w:pPr>
      <w:r w:rsidRPr="00C13631">
        <w:rPr>
          <w:rStyle w:val="FootnoteReference"/>
          <w:sz w:val="24"/>
          <w:szCs w:val="24"/>
        </w:rPr>
        <w:footnoteRef/>
      </w:r>
      <w:r w:rsidRPr="00C13631">
        <w:rPr>
          <w:sz w:val="24"/>
          <w:szCs w:val="24"/>
        </w:rPr>
        <w:t xml:space="preserve"> Shepherd, </w:t>
      </w:r>
      <w:r w:rsidRPr="00C13631">
        <w:rPr>
          <w:i/>
          <w:sz w:val="24"/>
          <w:szCs w:val="24"/>
        </w:rPr>
        <w:t>supra</w:t>
      </w:r>
      <w:r w:rsidRPr="00C13631">
        <w:rPr>
          <w:sz w:val="24"/>
          <w:szCs w:val="24"/>
        </w:rPr>
        <w:t xml:space="preserve"> note </w:t>
      </w:r>
      <w:r>
        <w:rPr>
          <w:sz w:val="24"/>
          <w:szCs w:val="24"/>
        </w:rPr>
        <w:t>3</w:t>
      </w:r>
      <w:r w:rsidR="00B455EF">
        <w:rPr>
          <w:sz w:val="24"/>
          <w:szCs w:val="24"/>
        </w:rPr>
        <w:t>4</w:t>
      </w:r>
      <w:r w:rsidRPr="00C13631">
        <w:rPr>
          <w:sz w:val="24"/>
          <w:szCs w:val="24"/>
        </w:rPr>
        <w:t xml:space="preserve">, at 17. </w:t>
      </w:r>
    </w:p>
  </w:footnote>
  <w:footnote w:id="72">
    <w:p w:rsidR="00A424DC" w:rsidRPr="0080303C" w:rsidRDefault="00A424DC">
      <w:pPr>
        <w:pStyle w:val="FootnoteText"/>
        <w:rPr>
          <w:sz w:val="24"/>
          <w:szCs w:val="24"/>
        </w:rPr>
      </w:pPr>
      <w:r w:rsidRPr="00C13631">
        <w:rPr>
          <w:rStyle w:val="FootnoteReference"/>
          <w:sz w:val="24"/>
          <w:szCs w:val="24"/>
        </w:rPr>
        <w:footnoteRef/>
      </w:r>
      <w:r w:rsidRPr="00C13631">
        <w:rPr>
          <w:sz w:val="24"/>
          <w:szCs w:val="24"/>
        </w:rPr>
        <w:t xml:space="preserve"> </w:t>
      </w:r>
      <w:r>
        <w:rPr>
          <w:sz w:val="24"/>
          <w:szCs w:val="24"/>
        </w:rPr>
        <w:t xml:space="preserve">Joshua Wright, the aforementioned George Mason professor, antitrust expert, and former FCC commissioner has drawn some amount of attention for his view that market concentration, particularly via vertical integration, may actually benefit consumers. </w:t>
      </w:r>
      <w:r>
        <w:rPr>
          <w:i/>
          <w:sz w:val="24"/>
          <w:szCs w:val="24"/>
        </w:rPr>
        <w:t>See, e.g.,</w:t>
      </w:r>
      <w:r>
        <w:rPr>
          <w:sz w:val="24"/>
          <w:szCs w:val="24"/>
        </w:rPr>
        <w:t xml:space="preserve"> Joshua Wright, </w:t>
      </w:r>
      <w:r>
        <w:rPr>
          <w:i/>
          <w:sz w:val="24"/>
          <w:szCs w:val="24"/>
        </w:rPr>
        <w:t>Should the Government Bring Back Trust-Busting?</w:t>
      </w:r>
      <w:r>
        <w:rPr>
          <w:sz w:val="24"/>
          <w:szCs w:val="24"/>
        </w:rPr>
        <w:t xml:space="preserve"> </w:t>
      </w:r>
      <w:r w:rsidRPr="0080303C">
        <w:rPr>
          <w:smallCaps/>
          <w:sz w:val="24"/>
          <w:szCs w:val="24"/>
        </w:rPr>
        <w:t>The New York Times</w:t>
      </w:r>
      <w:r>
        <w:rPr>
          <w:sz w:val="24"/>
          <w:szCs w:val="24"/>
        </w:rPr>
        <w:t xml:space="preserve">, Room for Debate (Nov. 14, 2016), </w:t>
      </w:r>
    </w:p>
    <w:p w:rsidR="00A424DC" w:rsidRPr="0065441B" w:rsidRDefault="00EF1672">
      <w:pPr>
        <w:pStyle w:val="FootnoteText"/>
        <w:rPr>
          <w:i/>
          <w:sz w:val="24"/>
          <w:szCs w:val="24"/>
        </w:rPr>
      </w:pPr>
      <w:hyperlink r:id="rId13" w:history="1">
        <w:r w:rsidR="00A424DC" w:rsidRPr="0080303C">
          <w:rPr>
            <w:rStyle w:val="Hyperlink"/>
            <w:sz w:val="24"/>
            <w:szCs w:val="24"/>
          </w:rPr>
          <w:t>https://www.nytimes.com/roomfordebate/2016/11/14/should-the-government-bring-back-trust-busting</w:t>
        </w:r>
      </w:hyperlink>
      <w:r w:rsidR="00A424DC">
        <w:rPr>
          <w:sz w:val="24"/>
          <w:szCs w:val="24"/>
        </w:rPr>
        <w:t xml:space="preserve">. </w:t>
      </w:r>
    </w:p>
  </w:footnote>
  <w:footnote w:id="73">
    <w:p w:rsidR="00A424DC" w:rsidRPr="007F5660" w:rsidRDefault="00A424DC">
      <w:pPr>
        <w:pStyle w:val="FootnoteText"/>
        <w:rPr>
          <w:sz w:val="24"/>
          <w:szCs w:val="24"/>
        </w:rPr>
      </w:pPr>
      <w:r w:rsidRPr="00A66940">
        <w:rPr>
          <w:rStyle w:val="FootnoteReference"/>
          <w:sz w:val="24"/>
          <w:szCs w:val="24"/>
        </w:rPr>
        <w:footnoteRef/>
      </w:r>
      <w:r w:rsidRPr="00A66940">
        <w:rPr>
          <w:sz w:val="24"/>
          <w:szCs w:val="24"/>
        </w:rPr>
        <w:t xml:space="preserve"> </w:t>
      </w:r>
      <w:r w:rsidRPr="00A66940">
        <w:rPr>
          <w:i/>
          <w:sz w:val="24"/>
          <w:szCs w:val="24"/>
        </w:rPr>
        <w:t xml:space="preserve">See, e.g., </w:t>
      </w:r>
      <w:r w:rsidRPr="00A66940">
        <w:rPr>
          <w:sz w:val="24"/>
          <w:szCs w:val="24"/>
        </w:rPr>
        <w:t xml:space="preserve">Steven Savage, </w:t>
      </w:r>
      <w:r w:rsidRPr="00A66940">
        <w:rPr>
          <w:i/>
          <w:sz w:val="24"/>
          <w:szCs w:val="24"/>
        </w:rPr>
        <w:t>The Non-GMO Food Label Is a Lie</w:t>
      </w:r>
      <w:r w:rsidRPr="00A66940">
        <w:rPr>
          <w:sz w:val="24"/>
          <w:szCs w:val="24"/>
        </w:rPr>
        <w:t xml:space="preserve">, </w:t>
      </w:r>
      <w:r w:rsidRPr="00A66940">
        <w:rPr>
          <w:smallCaps/>
          <w:sz w:val="24"/>
          <w:szCs w:val="24"/>
        </w:rPr>
        <w:t>Forbes</w:t>
      </w:r>
      <w:r w:rsidRPr="00A66940">
        <w:rPr>
          <w:sz w:val="24"/>
          <w:szCs w:val="24"/>
        </w:rPr>
        <w:t xml:space="preserve"> (June 11, 2016), </w:t>
      </w:r>
      <w:hyperlink r:id="rId14" w:anchor="41bf1a184b70" w:history="1">
        <w:r w:rsidRPr="00A66940">
          <w:rPr>
            <w:rStyle w:val="Hyperlink"/>
            <w:sz w:val="24"/>
            <w:szCs w:val="24"/>
          </w:rPr>
          <w:t>https://www.forbes.com/sites/stevensavage/2016/06/11/the-non-gmo-food-label-is-a-lie/#41bf1a184b70</w:t>
        </w:r>
      </w:hyperlink>
      <w:r>
        <w:rPr>
          <w:sz w:val="24"/>
          <w:szCs w:val="24"/>
        </w:rPr>
        <w:t xml:space="preserve">; </w:t>
      </w:r>
      <w:r>
        <w:rPr>
          <w:i/>
          <w:sz w:val="24"/>
          <w:szCs w:val="24"/>
        </w:rPr>
        <w:t>The 13 Most Misleading Food Label Claims</w:t>
      </w:r>
      <w:r>
        <w:rPr>
          <w:sz w:val="24"/>
          <w:szCs w:val="24"/>
        </w:rPr>
        <w:t xml:space="preserve">, </w:t>
      </w:r>
      <w:r w:rsidRPr="007F5660">
        <w:rPr>
          <w:smallCaps/>
          <w:sz w:val="24"/>
          <w:szCs w:val="24"/>
        </w:rPr>
        <w:t>Naked Food Magazine</w:t>
      </w:r>
      <w:r>
        <w:rPr>
          <w:sz w:val="24"/>
          <w:szCs w:val="24"/>
        </w:rPr>
        <w:t xml:space="preserve">, </w:t>
      </w:r>
      <w:hyperlink r:id="rId15" w:history="1">
        <w:r w:rsidRPr="007F5660">
          <w:rPr>
            <w:rStyle w:val="Hyperlink"/>
            <w:sz w:val="24"/>
            <w:szCs w:val="24"/>
          </w:rPr>
          <w:t>http://nakedfoodmagazine.com/13-most-misleading-food-label-claims/</w:t>
        </w:r>
      </w:hyperlink>
      <w:r>
        <w:rPr>
          <w:sz w:val="24"/>
          <w:szCs w:val="24"/>
        </w:rPr>
        <w:t>.</w:t>
      </w:r>
    </w:p>
  </w:footnote>
  <w:footnote w:id="74">
    <w:p w:rsidR="00A424DC" w:rsidRPr="009F113F" w:rsidRDefault="00A424DC" w:rsidP="008F4FF8">
      <w:pPr>
        <w:pStyle w:val="FootnoteText"/>
        <w:rPr>
          <w:sz w:val="24"/>
          <w:szCs w:val="24"/>
        </w:rPr>
      </w:pPr>
      <w:r w:rsidRPr="009F113F">
        <w:rPr>
          <w:rStyle w:val="FootnoteReference"/>
          <w:sz w:val="24"/>
          <w:szCs w:val="24"/>
        </w:rPr>
        <w:footnoteRef/>
      </w:r>
      <w:r w:rsidRPr="009F113F">
        <w:rPr>
          <w:sz w:val="24"/>
          <w:szCs w:val="24"/>
        </w:rPr>
        <w:t xml:space="preserve"> AT&amp;T Mobility LLC v. Concepcion, 563 U.S. 333 (2011).</w:t>
      </w:r>
    </w:p>
  </w:footnote>
  <w:footnote w:id="75">
    <w:p w:rsidR="00A424DC" w:rsidRPr="009F113F" w:rsidRDefault="00A424DC" w:rsidP="008F4FF8">
      <w:pPr>
        <w:pStyle w:val="FootnoteText"/>
        <w:rPr>
          <w:sz w:val="24"/>
          <w:szCs w:val="24"/>
        </w:rPr>
      </w:pPr>
      <w:r w:rsidRPr="009F113F">
        <w:rPr>
          <w:rStyle w:val="FootnoteReference"/>
          <w:sz w:val="24"/>
          <w:szCs w:val="24"/>
        </w:rPr>
        <w:footnoteRef/>
      </w:r>
      <w:r w:rsidRPr="009F113F">
        <w:rPr>
          <w:sz w:val="24"/>
          <w:szCs w:val="24"/>
        </w:rPr>
        <w:t xml:space="preserve"> Spokeo, Inc. v. Robins, 136 S.Ct. 1540 (2016). </w:t>
      </w:r>
    </w:p>
  </w:footnote>
  <w:footnote w:id="76">
    <w:p w:rsidR="00A424DC" w:rsidRPr="009F113F" w:rsidRDefault="00A424DC" w:rsidP="008F4FF8">
      <w:pPr>
        <w:pStyle w:val="FootnoteText"/>
        <w:rPr>
          <w:sz w:val="24"/>
          <w:szCs w:val="24"/>
        </w:rPr>
      </w:pPr>
      <w:r w:rsidRPr="009F113F">
        <w:rPr>
          <w:rStyle w:val="FootnoteReference"/>
          <w:sz w:val="24"/>
          <w:szCs w:val="24"/>
        </w:rPr>
        <w:footnoteRef/>
      </w:r>
      <w:r w:rsidRPr="009F113F">
        <w:rPr>
          <w:sz w:val="24"/>
          <w:szCs w:val="24"/>
        </w:rPr>
        <w:t xml:space="preserve"> </w:t>
      </w:r>
      <w:r w:rsidRPr="009F113F">
        <w:rPr>
          <w:i/>
          <w:sz w:val="24"/>
          <w:szCs w:val="24"/>
        </w:rPr>
        <w:t>See, e.g.,</w:t>
      </w:r>
      <w:r w:rsidRPr="009F113F">
        <w:rPr>
          <w:sz w:val="24"/>
          <w:szCs w:val="24"/>
        </w:rPr>
        <w:t xml:space="preserve"> Jessica Silver-Greenberg &amp; Robert Gebeloff, </w:t>
      </w:r>
      <w:r w:rsidRPr="009F113F">
        <w:rPr>
          <w:i/>
          <w:sz w:val="24"/>
          <w:szCs w:val="24"/>
        </w:rPr>
        <w:t>Arbitration Everywhere, Stacking the Deck of Justice</w:t>
      </w:r>
      <w:r w:rsidRPr="009F113F">
        <w:rPr>
          <w:sz w:val="24"/>
          <w:szCs w:val="24"/>
        </w:rPr>
        <w:t xml:space="preserve">, </w:t>
      </w:r>
      <w:r w:rsidRPr="009F113F">
        <w:rPr>
          <w:smallCaps/>
          <w:sz w:val="24"/>
          <w:szCs w:val="24"/>
        </w:rPr>
        <w:t>The New York Times</w:t>
      </w:r>
      <w:r w:rsidRPr="009F113F">
        <w:rPr>
          <w:sz w:val="24"/>
          <w:szCs w:val="24"/>
        </w:rPr>
        <w:t xml:space="preserve"> (Oct. 31, 2015),</w:t>
      </w:r>
      <w:r w:rsidRPr="009F113F">
        <w:rPr>
          <w:i/>
          <w:sz w:val="24"/>
          <w:szCs w:val="24"/>
        </w:rPr>
        <w:t xml:space="preserve"> </w:t>
      </w:r>
      <w:hyperlink r:id="rId16" w:history="1">
        <w:r w:rsidRPr="009F113F">
          <w:rPr>
            <w:rStyle w:val="Hyperlink"/>
            <w:sz w:val="24"/>
            <w:szCs w:val="24"/>
          </w:rPr>
          <w:t>https://www.nytimes.com/2015/11/01/business/dealbook/arbitration-everywhere-stacking-the-deck-of-justice.html</w:t>
        </w:r>
      </w:hyperlink>
      <w:r w:rsidRPr="009F113F">
        <w:rPr>
          <w:sz w:val="24"/>
          <w:szCs w:val="24"/>
        </w:rPr>
        <w:t xml:space="preserve">. </w:t>
      </w:r>
    </w:p>
  </w:footnote>
  <w:footnote w:id="77">
    <w:p w:rsidR="00A424DC" w:rsidRPr="009F113F" w:rsidRDefault="00A424DC">
      <w:pPr>
        <w:pStyle w:val="FootnoteText"/>
        <w:rPr>
          <w:sz w:val="24"/>
          <w:szCs w:val="24"/>
        </w:rPr>
      </w:pPr>
      <w:r w:rsidRPr="009F113F">
        <w:rPr>
          <w:rStyle w:val="FootnoteReference"/>
          <w:sz w:val="24"/>
          <w:szCs w:val="24"/>
        </w:rPr>
        <w:footnoteRef/>
      </w:r>
      <w:r w:rsidRPr="009F113F">
        <w:rPr>
          <w:sz w:val="24"/>
          <w:szCs w:val="24"/>
        </w:rPr>
        <w:t xml:space="preserve"> </w:t>
      </w:r>
      <w:r w:rsidRPr="009F113F">
        <w:rPr>
          <w:i/>
          <w:sz w:val="24"/>
          <w:szCs w:val="24"/>
        </w:rPr>
        <w:t xml:space="preserve">See, e.g., </w:t>
      </w:r>
      <w:r w:rsidRPr="009F113F">
        <w:rPr>
          <w:sz w:val="24"/>
          <w:szCs w:val="24"/>
        </w:rPr>
        <w:t xml:space="preserve">Imre Stephen Szalai, </w:t>
      </w:r>
      <w:r>
        <w:rPr>
          <w:i/>
          <w:sz w:val="24"/>
          <w:szCs w:val="24"/>
        </w:rPr>
        <w:t>Correcting a Flaw in the Arbitration Fairness Act</w:t>
      </w:r>
      <w:r>
        <w:rPr>
          <w:sz w:val="24"/>
          <w:szCs w:val="24"/>
        </w:rPr>
        <w:t xml:space="preserve">, 2013(2) </w:t>
      </w:r>
      <w:r w:rsidRPr="009F113F">
        <w:rPr>
          <w:smallCaps/>
          <w:sz w:val="24"/>
          <w:szCs w:val="24"/>
        </w:rPr>
        <w:t>Journal of Dispute Resolution</w:t>
      </w:r>
      <w:r>
        <w:rPr>
          <w:sz w:val="24"/>
          <w:szCs w:val="24"/>
        </w:rPr>
        <w:t xml:space="preserve"> 1 (2013), </w:t>
      </w:r>
      <w:hyperlink r:id="rId17" w:history="1">
        <w:r w:rsidRPr="009F113F">
          <w:rPr>
            <w:rStyle w:val="Hyperlink"/>
            <w:sz w:val="24"/>
            <w:szCs w:val="24"/>
          </w:rPr>
          <w:t>https://scholarship.law.missouri.edu/cgi/viewcontent.cgi?referer=https://www.google.com/&amp;httpsredir=1&amp;article=1680&amp;context=jdr</w:t>
        </w:r>
      </w:hyperlink>
      <w:r>
        <w:rPr>
          <w:sz w:val="24"/>
          <w:szCs w:val="24"/>
        </w:rPr>
        <w:t>.</w:t>
      </w:r>
    </w:p>
  </w:footnote>
  <w:footnote w:id="78">
    <w:p w:rsidR="00A424DC" w:rsidRPr="004356BB" w:rsidRDefault="00A424DC">
      <w:pPr>
        <w:pStyle w:val="FootnoteText"/>
        <w:rPr>
          <w:sz w:val="24"/>
          <w:szCs w:val="24"/>
        </w:rPr>
      </w:pPr>
      <w:r w:rsidRPr="009F113F">
        <w:rPr>
          <w:rStyle w:val="FootnoteReference"/>
          <w:sz w:val="24"/>
          <w:szCs w:val="24"/>
        </w:rPr>
        <w:footnoteRef/>
      </w:r>
      <w:r w:rsidRPr="009F113F">
        <w:rPr>
          <w:sz w:val="24"/>
          <w:szCs w:val="24"/>
        </w:rPr>
        <w:t xml:space="preserve"> </w:t>
      </w:r>
      <w:r>
        <w:rPr>
          <w:i/>
          <w:sz w:val="24"/>
          <w:szCs w:val="24"/>
        </w:rPr>
        <w:t>See</w:t>
      </w:r>
      <w:r>
        <w:rPr>
          <w:sz w:val="24"/>
          <w:szCs w:val="24"/>
        </w:rPr>
        <w:t xml:space="preserve"> Concepcion, 563 U.S. at 356-57. </w:t>
      </w:r>
    </w:p>
  </w:footnote>
  <w:footnote w:id="79">
    <w:p w:rsidR="00A424DC" w:rsidRPr="005C285A" w:rsidRDefault="00A424DC">
      <w:pPr>
        <w:pStyle w:val="FootnoteText"/>
        <w:rPr>
          <w:sz w:val="24"/>
          <w:szCs w:val="24"/>
        </w:rPr>
      </w:pPr>
      <w:r w:rsidRPr="005C285A">
        <w:rPr>
          <w:rStyle w:val="FootnoteReference"/>
          <w:sz w:val="24"/>
          <w:szCs w:val="24"/>
        </w:rPr>
        <w:footnoteRef/>
      </w:r>
      <w:r w:rsidRPr="005C285A">
        <w:rPr>
          <w:sz w:val="24"/>
          <w:szCs w:val="24"/>
        </w:rPr>
        <w:t xml:space="preserve"> </w:t>
      </w:r>
      <w:r w:rsidRPr="005C285A">
        <w:rPr>
          <w:i/>
          <w:sz w:val="24"/>
          <w:szCs w:val="24"/>
        </w:rPr>
        <w:t>See</w:t>
      </w:r>
      <w:r w:rsidRPr="005C285A">
        <w:rPr>
          <w:sz w:val="24"/>
          <w:szCs w:val="24"/>
        </w:rPr>
        <w:t xml:space="preserve"> Shesgreen, </w:t>
      </w:r>
      <w:r w:rsidRPr="005C285A">
        <w:rPr>
          <w:i/>
          <w:sz w:val="24"/>
          <w:szCs w:val="24"/>
        </w:rPr>
        <w:t>supra</w:t>
      </w:r>
      <w:r w:rsidRPr="005C285A">
        <w:rPr>
          <w:sz w:val="24"/>
          <w:szCs w:val="24"/>
        </w:rPr>
        <w:t xml:space="preserve"> note 28. </w:t>
      </w:r>
    </w:p>
  </w:footnote>
  <w:footnote w:id="80">
    <w:p w:rsidR="00A424DC" w:rsidRPr="005C285A" w:rsidRDefault="00A424DC">
      <w:pPr>
        <w:pStyle w:val="FootnoteText"/>
        <w:rPr>
          <w:sz w:val="24"/>
          <w:szCs w:val="24"/>
        </w:rPr>
      </w:pPr>
      <w:r w:rsidRPr="005C285A">
        <w:rPr>
          <w:rStyle w:val="FootnoteReference"/>
          <w:sz w:val="24"/>
          <w:szCs w:val="24"/>
        </w:rPr>
        <w:footnoteRef/>
      </w:r>
      <w:r w:rsidRPr="005C285A">
        <w:rPr>
          <w:sz w:val="24"/>
          <w:szCs w:val="24"/>
        </w:rPr>
        <w:t xml:space="preserve"> </w:t>
      </w:r>
      <w:r w:rsidRPr="005C285A">
        <w:rPr>
          <w:i/>
          <w:sz w:val="24"/>
          <w:szCs w:val="24"/>
        </w:rPr>
        <w:t>See id.;</w:t>
      </w:r>
      <w:r w:rsidRPr="005C285A">
        <w:rPr>
          <w:sz w:val="24"/>
          <w:szCs w:val="24"/>
        </w:rPr>
        <w:t xml:space="preserve"> Hobbs v. T</w:t>
      </w:r>
      <w:r w:rsidR="001A30F2">
        <w:rPr>
          <w:sz w:val="24"/>
          <w:szCs w:val="24"/>
        </w:rPr>
        <w:t>AMKO</w:t>
      </w:r>
      <w:r w:rsidRPr="005C285A">
        <w:rPr>
          <w:sz w:val="24"/>
          <w:szCs w:val="24"/>
        </w:rPr>
        <w:t xml:space="preserve"> Building Products, Inc., 479 S.W.3d 147 (Mo. Ct. App. 2015). </w:t>
      </w:r>
    </w:p>
  </w:footnote>
  <w:footnote w:id="81">
    <w:p w:rsidR="00A424DC" w:rsidRPr="005C285A" w:rsidRDefault="00A424DC">
      <w:pPr>
        <w:pStyle w:val="FootnoteText"/>
        <w:rPr>
          <w:sz w:val="24"/>
          <w:szCs w:val="24"/>
        </w:rPr>
      </w:pPr>
      <w:r w:rsidRPr="005C285A">
        <w:rPr>
          <w:rStyle w:val="FootnoteReference"/>
          <w:sz w:val="24"/>
          <w:szCs w:val="24"/>
        </w:rPr>
        <w:footnoteRef/>
      </w:r>
      <w:r w:rsidRPr="005C285A">
        <w:rPr>
          <w:sz w:val="24"/>
          <w:szCs w:val="24"/>
        </w:rPr>
        <w:t xml:space="preserve"> Hobbs, 479 S.W.3d at 148-51. </w:t>
      </w:r>
    </w:p>
  </w:footnote>
  <w:footnote w:id="82">
    <w:p w:rsidR="00A424DC" w:rsidRPr="005C285A" w:rsidRDefault="00A424DC">
      <w:pPr>
        <w:pStyle w:val="FootnoteText"/>
        <w:rPr>
          <w:sz w:val="24"/>
          <w:szCs w:val="24"/>
        </w:rPr>
      </w:pPr>
      <w:r w:rsidRPr="005C285A">
        <w:rPr>
          <w:rStyle w:val="FootnoteReference"/>
          <w:sz w:val="24"/>
          <w:szCs w:val="24"/>
        </w:rPr>
        <w:footnoteRef/>
      </w:r>
      <w:r w:rsidRPr="005C285A">
        <w:rPr>
          <w:sz w:val="24"/>
          <w:szCs w:val="24"/>
        </w:rPr>
        <w:t xml:space="preserve"> </w:t>
      </w:r>
      <w:r w:rsidRPr="005C285A">
        <w:rPr>
          <w:i/>
          <w:sz w:val="24"/>
          <w:szCs w:val="24"/>
        </w:rPr>
        <w:t>See id.</w:t>
      </w:r>
      <w:r w:rsidRPr="005C285A">
        <w:rPr>
          <w:sz w:val="24"/>
          <w:szCs w:val="24"/>
        </w:rPr>
        <w:t xml:space="preserve"> </w:t>
      </w:r>
    </w:p>
  </w:footnote>
  <w:footnote w:id="83">
    <w:p w:rsidR="00A424DC" w:rsidRPr="005C285A" w:rsidRDefault="00A424DC">
      <w:pPr>
        <w:pStyle w:val="FootnoteText"/>
        <w:rPr>
          <w:sz w:val="24"/>
          <w:szCs w:val="24"/>
        </w:rPr>
      </w:pPr>
      <w:r w:rsidRPr="005C285A">
        <w:rPr>
          <w:rStyle w:val="FootnoteReference"/>
          <w:sz w:val="24"/>
          <w:szCs w:val="24"/>
        </w:rPr>
        <w:footnoteRef/>
      </w:r>
      <w:r w:rsidRPr="005C285A">
        <w:rPr>
          <w:sz w:val="24"/>
          <w:szCs w:val="24"/>
        </w:rPr>
        <w:t xml:space="preserve"> </w:t>
      </w:r>
      <w:r w:rsidRPr="005C285A">
        <w:rPr>
          <w:i/>
          <w:sz w:val="24"/>
          <w:szCs w:val="24"/>
        </w:rPr>
        <w:t>See id.</w:t>
      </w:r>
      <w:r w:rsidRPr="005C285A">
        <w:rPr>
          <w:sz w:val="24"/>
          <w:szCs w:val="24"/>
        </w:rPr>
        <w:t xml:space="preserve">; Shesgreen, </w:t>
      </w:r>
      <w:r w:rsidRPr="005C285A">
        <w:rPr>
          <w:i/>
          <w:sz w:val="24"/>
          <w:szCs w:val="24"/>
        </w:rPr>
        <w:t>supra</w:t>
      </w:r>
      <w:r w:rsidRPr="005C285A">
        <w:rPr>
          <w:sz w:val="24"/>
          <w:szCs w:val="24"/>
        </w:rPr>
        <w:t xml:space="preserve"> note 2</w:t>
      </w:r>
      <w:r w:rsidR="00B455EF">
        <w:rPr>
          <w:sz w:val="24"/>
          <w:szCs w:val="24"/>
        </w:rPr>
        <w:t>9</w:t>
      </w:r>
      <w:r w:rsidRPr="005C285A">
        <w:rPr>
          <w:sz w:val="24"/>
          <w:szCs w:val="24"/>
        </w:rPr>
        <w:t xml:space="preserve">. There is simply no evidence of a “runaway court” in the </w:t>
      </w:r>
      <w:r w:rsidRPr="005C285A">
        <w:rPr>
          <w:i/>
          <w:sz w:val="24"/>
          <w:szCs w:val="24"/>
        </w:rPr>
        <w:t>Hobbs</w:t>
      </w:r>
      <w:r w:rsidRPr="005C285A">
        <w:rPr>
          <w:sz w:val="24"/>
          <w:szCs w:val="24"/>
        </w:rPr>
        <w:t xml:space="preserve"> opinion as put forth. </w:t>
      </w:r>
    </w:p>
  </w:footnote>
  <w:footnote w:id="84">
    <w:p w:rsidR="00A424DC" w:rsidRPr="005C285A" w:rsidRDefault="00A424DC">
      <w:pPr>
        <w:pStyle w:val="FootnoteText"/>
        <w:rPr>
          <w:sz w:val="24"/>
          <w:szCs w:val="24"/>
        </w:rPr>
      </w:pPr>
      <w:r w:rsidRPr="005C285A">
        <w:rPr>
          <w:rStyle w:val="FootnoteReference"/>
          <w:sz w:val="24"/>
          <w:szCs w:val="24"/>
        </w:rPr>
        <w:footnoteRef/>
      </w:r>
      <w:r w:rsidRPr="005C285A">
        <w:rPr>
          <w:sz w:val="24"/>
          <w:szCs w:val="24"/>
        </w:rPr>
        <w:t xml:space="preserve"> </w:t>
      </w:r>
      <w:r w:rsidRPr="005C285A">
        <w:rPr>
          <w:i/>
          <w:sz w:val="24"/>
          <w:szCs w:val="24"/>
        </w:rPr>
        <w:t>See</w:t>
      </w:r>
      <w:r w:rsidRPr="005C285A">
        <w:rPr>
          <w:sz w:val="24"/>
          <w:szCs w:val="24"/>
        </w:rPr>
        <w:t xml:space="preserve"> Hobbs, 479 S.W.3d at 148-49. </w:t>
      </w:r>
    </w:p>
  </w:footnote>
  <w:footnote w:id="85">
    <w:p w:rsidR="00A424DC" w:rsidRPr="005C285A" w:rsidRDefault="00A424DC">
      <w:pPr>
        <w:pStyle w:val="FootnoteText"/>
        <w:rPr>
          <w:sz w:val="24"/>
          <w:szCs w:val="24"/>
        </w:rPr>
      </w:pPr>
      <w:r w:rsidRPr="005C285A">
        <w:rPr>
          <w:rStyle w:val="FootnoteReference"/>
          <w:sz w:val="24"/>
          <w:szCs w:val="24"/>
        </w:rPr>
        <w:footnoteRef/>
      </w:r>
      <w:r w:rsidRPr="005C285A">
        <w:rPr>
          <w:sz w:val="24"/>
          <w:szCs w:val="24"/>
        </w:rPr>
        <w:t xml:space="preserve"> </w:t>
      </w:r>
      <w:r>
        <w:rPr>
          <w:i/>
          <w:sz w:val="24"/>
          <w:szCs w:val="24"/>
        </w:rPr>
        <w:t xml:space="preserve">See </w:t>
      </w:r>
      <w:r w:rsidRPr="009F113F">
        <w:rPr>
          <w:sz w:val="24"/>
          <w:szCs w:val="24"/>
        </w:rPr>
        <w:t>Spokeo, Inc. v. Robins, 136 S.Ct. 1540</w:t>
      </w:r>
      <w:r>
        <w:rPr>
          <w:sz w:val="24"/>
          <w:szCs w:val="24"/>
        </w:rPr>
        <w:t>, 1550</w:t>
      </w:r>
      <w:r w:rsidRPr="009F113F">
        <w:rPr>
          <w:sz w:val="24"/>
          <w:szCs w:val="24"/>
        </w:rPr>
        <w:t xml:space="preserve"> (2016</w:t>
      </w:r>
      <w:r>
        <w:rPr>
          <w:sz w:val="24"/>
          <w:szCs w:val="24"/>
        </w:rPr>
        <w:t xml:space="preserve">). </w:t>
      </w:r>
    </w:p>
  </w:footnote>
  <w:footnote w:id="86">
    <w:p w:rsidR="00A424DC" w:rsidRPr="005C285A" w:rsidRDefault="00A424DC">
      <w:pPr>
        <w:pStyle w:val="FootnoteText"/>
        <w:rPr>
          <w:sz w:val="24"/>
          <w:szCs w:val="24"/>
        </w:rPr>
      </w:pPr>
      <w:r w:rsidRPr="005C285A">
        <w:rPr>
          <w:rStyle w:val="FootnoteReference"/>
          <w:sz w:val="24"/>
          <w:szCs w:val="24"/>
        </w:rPr>
        <w:footnoteRef/>
      </w:r>
      <w:r w:rsidRPr="005C285A">
        <w:rPr>
          <w:sz w:val="24"/>
          <w:szCs w:val="24"/>
        </w:rPr>
        <w:t xml:space="preserve"> Cooper &amp; Shepherd, </w:t>
      </w:r>
      <w:r w:rsidRPr="005C285A">
        <w:rPr>
          <w:i/>
          <w:sz w:val="24"/>
          <w:szCs w:val="24"/>
        </w:rPr>
        <w:t>supra</w:t>
      </w:r>
      <w:r w:rsidRPr="005C285A">
        <w:rPr>
          <w:sz w:val="24"/>
          <w:szCs w:val="24"/>
        </w:rPr>
        <w:t xml:space="preserve"> note 3</w:t>
      </w:r>
      <w:r w:rsidR="00BD06C2">
        <w:rPr>
          <w:sz w:val="24"/>
          <w:szCs w:val="24"/>
        </w:rPr>
        <w:t>4</w:t>
      </w:r>
      <w:r w:rsidRPr="005C285A">
        <w:rPr>
          <w:sz w:val="24"/>
          <w:szCs w:val="24"/>
        </w:rPr>
        <w:t>, at 975.</w:t>
      </w:r>
    </w:p>
  </w:footnote>
  <w:footnote w:id="87">
    <w:p w:rsidR="00A424DC" w:rsidRPr="005C285A" w:rsidRDefault="00A424DC">
      <w:pPr>
        <w:pStyle w:val="FootnoteText"/>
        <w:rPr>
          <w:sz w:val="24"/>
          <w:szCs w:val="24"/>
        </w:rPr>
      </w:pPr>
      <w:r w:rsidRPr="005C285A">
        <w:rPr>
          <w:rStyle w:val="FootnoteReference"/>
          <w:sz w:val="24"/>
          <w:szCs w:val="24"/>
        </w:rPr>
        <w:footnoteRef/>
      </w:r>
      <w:r w:rsidRPr="005C285A">
        <w:rPr>
          <w:sz w:val="24"/>
          <w:szCs w:val="24"/>
        </w:rPr>
        <w:t xml:space="preserve"> </w:t>
      </w:r>
      <w:r w:rsidRPr="005C285A">
        <w:rPr>
          <w:i/>
          <w:sz w:val="24"/>
          <w:szCs w:val="24"/>
        </w:rPr>
        <w:t>Id.</w:t>
      </w:r>
      <w:r w:rsidRPr="005C285A">
        <w:rPr>
          <w:sz w:val="24"/>
          <w:szCs w:val="24"/>
        </w:rPr>
        <w:t xml:space="preserve"> </w:t>
      </w:r>
    </w:p>
  </w:footnote>
  <w:footnote w:id="88">
    <w:p w:rsidR="00A424DC" w:rsidRPr="002358D6" w:rsidRDefault="00A424DC">
      <w:pPr>
        <w:pStyle w:val="FootnoteText"/>
        <w:rPr>
          <w:sz w:val="24"/>
          <w:szCs w:val="24"/>
        </w:rPr>
      </w:pPr>
      <w:r w:rsidRPr="002358D6">
        <w:rPr>
          <w:rStyle w:val="FootnoteReference"/>
          <w:sz w:val="24"/>
          <w:szCs w:val="24"/>
        </w:rPr>
        <w:footnoteRef/>
      </w:r>
      <w:r w:rsidRPr="002358D6">
        <w:rPr>
          <w:sz w:val="24"/>
          <w:szCs w:val="24"/>
        </w:rPr>
        <w:t xml:space="preserve"> </w:t>
      </w:r>
      <w:r w:rsidR="00BD06C2">
        <w:rPr>
          <w:i/>
          <w:iCs/>
          <w:sz w:val="24"/>
          <w:szCs w:val="24"/>
        </w:rPr>
        <w:t>Id.</w:t>
      </w:r>
      <w:r w:rsidR="00BD06C2">
        <w:rPr>
          <w:sz w:val="24"/>
          <w:szCs w:val="24"/>
        </w:rPr>
        <w:t xml:space="preserve"> </w:t>
      </w:r>
      <w:r w:rsidRPr="002358D6">
        <w:rPr>
          <w:sz w:val="24"/>
          <w:szCs w:val="24"/>
        </w:rPr>
        <w:t>at 963 (regarding the</w:t>
      </w:r>
      <w:r>
        <w:rPr>
          <w:sz w:val="24"/>
          <w:szCs w:val="24"/>
        </w:rPr>
        <w:t xml:space="preserve"> significant marginal</w:t>
      </w:r>
      <w:r w:rsidRPr="002358D6">
        <w:rPr>
          <w:sz w:val="24"/>
          <w:szCs w:val="24"/>
        </w:rPr>
        <w:t xml:space="preserve"> increase in litigation </w:t>
      </w:r>
      <w:r>
        <w:rPr>
          <w:sz w:val="24"/>
          <w:szCs w:val="24"/>
        </w:rPr>
        <w:t xml:space="preserve">related to financial services, including debt collection). </w:t>
      </w:r>
    </w:p>
  </w:footnote>
  <w:footnote w:id="89">
    <w:p w:rsidR="00A424DC" w:rsidRPr="00EF6A06" w:rsidRDefault="00A424DC">
      <w:pPr>
        <w:pStyle w:val="FootnoteText"/>
        <w:rPr>
          <w:sz w:val="24"/>
          <w:szCs w:val="24"/>
        </w:rPr>
      </w:pPr>
      <w:r w:rsidRPr="002358D6">
        <w:rPr>
          <w:rStyle w:val="FootnoteReference"/>
          <w:sz w:val="24"/>
          <w:szCs w:val="24"/>
        </w:rPr>
        <w:footnoteRef/>
      </w:r>
      <w:r w:rsidRPr="002358D6">
        <w:rPr>
          <w:sz w:val="24"/>
          <w:szCs w:val="24"/>
        </w:rPr>
        <w:t xml:space="preserve"> </w:t>
      </w:r>
      <w:r>
        <w:rPr>
          <w:sz w:val="24"/>
          <w:szCs w:val="24"/>
        </w:rPr>
        <w:t xml:space="preserve">The “Twiqbal” cases collectively heightened the pleading standard for allegations in petitions, which </w:t>
      </w:r>
      <w:r w:rsidRPr="005871F8">
        <w:rPr>
          <w:i/>
          <w:sz w:val="24"/>
          <w:szCs w:val="24"/>
        </w:rPr>
        <w:t>may</w:t>
      </w:r>
      <w:r>
        <w:rPr>
          <w:sz w:val="24"/>
          <w:szCs w:val="24"/>
        </w:rPr>
        <w:t xml:space="preserve"> have had some discernible effect on certain plaintiffs and plaintiffs’ attorneys. </w:t>
      </w:r>
      <w:r>
        <w:rPr>
          <w:i/>
          <w:sz w:val="24"/>
          <w:szCs w:val="24"/>
        </w:rPr>
        <w:t>See, e.g.,</w:t>
      </w:r>
      <w:r>
        <w:rPr>
          <w:sz w:val="24"/>
          <w:szCs w:val="24"/>
        </w:rPr>
        <w:t xml:space="preserve"> William Hubbard, </w:t>
      </w:r>
      <w:r>
        <w:rPr>
          <w:i/>
          <w:sz w:val="24"/>
          <w:szCs w:val="24"/>
        </w:rPr>
        <w:t>The Empirical Effects of Twombly and Iqbal</w:t>
      </w:r>
      <w:r>
        <w:rPr>
          <w:sz w:val="24"/>
          <w:szCs w:val="24"/>
        </w:rPr>
        <w:t xml:space="preserve">, </w:t>
      </w:r>
      <w:r w:rsidRPr="00EF6A06">
        <w:rPr>
          <w:smallCaps/>
          <w:sz w:val="24"/>
          <w:szCs w:val="24"/>
        </w:rPr>
        <w:t>University of Chicago Law School</w:t>
      </w:r>
      <w:r>
        <w:rPr>
          <w:sz w:val="24"/>
          <w:szCs w:val="24"/>
        </w:rPr>
        <w:t xml:space="preserve">, Coase-Sandor Institute for Law and Economics, Working Paper No. 773 (2016), </w:t>
      </w:r>
      <w:hyperlink r:id="rId18" w:history="1">
        <w:r w:rsidRPr="00EF6A06">
          <w:rPr>
            <w:rStyle w:val="Hyperlink"/>
            <w:sz w:val="24"/>
            <w:szCs w:val="24"/>
          </w:rPr>
          <w:t>https://chicagounbound.uchicago.edu/cgi/viewcontent.cgi?article=2479&amp;context=law_and_economics</w:t>
        </w:r>
      </w:hyperlink>
      <w:r>
        <w:rPr>
          <w:sz w:val="24"/>
          <w:szCs w:val="24"/>
        </w:rPr>
        <w:t>.</w:t>
      </w:r>
    </w:p>
  </w:footnote>
  <w:footnote w:id="90">
    <w:p w:rsidR="00A424DC" w:rsidRPr="00182ADE" w:rsidRDefault="00A424DC">
      <w:pPr>
        <w:pStyle w:val="FootnoteText"/>
        <w:rPr>
          <w:sz w:val="24"/>
          <w:szCs w:val="24"/>
        </w:rPr>
      </w:pPr>
      <w:r w:rsidRPr="00182ADE">
        <w:rPr>
          <w:rStyle w:val="FootnoteReference"/>
          <w:sz w:val="24"/>
          <w:szCs w:val="24"/>
        </w:rPr>
        <w:footnoteRef/>
      </w:r>
      <w:r w:rsidRPr="00182ADE">
        <w:rPr>
          <w:sz w:val="24"/>
          <w:szCs w:val="24"/>
        </w:rPr>
        <w:t xml:space="preserve"> </w:t>
      </w:r>
      <w:r w:rsidRPr="00182ADE">
        <w:rPr>
          <w:i/>
          <w:sz w:val="24"/>
          <w:szCs w:val="24"/>
        </w:rPr>
        <w:t>See, e.g.,</w:t>
      </w:r>
      <w:r w:rsidRPr="00182ADE">
        <w:rPr>
          <w:sz w:val="24"/>
          <w:szCs w:val="24"/>
        </w:rPr>
        <w:t xml:space="preserve"> Shepherd, </w:t>
      </w:r>
      <w:r w:rsidRPr="00182ADE">
        <w:rPr>
          <w:i/>
          <w:sz w:val="24"/>
          <w:szCs w:val="24"/>
        </w:rPr>
        <w:t>supra</w:t>
      </w:r>
      <w:r w:rsidRPr="00182ADE">
        <w:rPr>
          <w:sz w:val="24"/>
          <w:szCs w:val="24"/>
        </w:rPr>
        <w:t xml:space="preserve"> note 3</w:t>
      </w:r>
      <w:r w:rsidR="00712B3E">
        <w:rPr>
          <w:sz w:val="24"/>
          <w:szCs w:val="24"/>
        </w:rPr>
        <w:t>4</w:t>
      </w:r>
      <w:r w:rsidRPr="00182ADE">
        <w:rPr>
          <w:sz w:val="24"/>
          <w:szCs w:val="24"/>
        </w:rPr>
        <w:t>, at 17-18.</w:t>
      </w:r>
    </w:p>
  </w:footnote>
  <w:footnote w:id="91">
    <w:p w:rsidR="00A424DC" w:rsidRPr="00182ADE" w:rsidRDefault="00A424DC">
      <w:pPr>
        <w:pStyle w:val="FootnoteText"/>
        <w:rPr>
          <w:sz w:val="24"/>
          <w:szCs w:val="24"/>
        </w:rPr>
      </w:pPr>
      <w:r w:rsidRPr="00182ADE">
        <w:rPr>
          <w:rStyle w:val="FootnoteReference"/>
          <w:sz w:val="24"/>
          <w:szCs w:val="24"/>
        </w:rPr>
        <w:footnoteRef/>
      </w:r>
      <w:r w:rsidRPr="00182ADE">
        <w:rPr>
          <w:sz w:val="24"/>
          <w:szCs w:val="24"/>
        </w:rPr>
        <w:t xml:space="preserve"> </w:t>
      </w:r>
      <w:r w:rsidRPr="00182ADE">
        <w:rPr>
          <w:i/>
          <w:sz w:val="24"/>
          <w:szCs w:val="24"/>
        </w:rPr>
        <w:t>See, e.g.,</w:t>
      </w:r>
      <w:r w:rsidRPr="00182ADE">
        <w:rPr>
          <w:sz w:val="24"/>
          <w:szCs w:val="24"/>
        </w:rPr>
        <w:t xml:space="preserve"> Schmitt, </w:t>
      </w:r>
      <w:r w:rsidRPr="00182ADE">
        <w:rPr>
          <w:i/>
          <w:sz w:val="24"/>
          <w:szCs w:val="24"/>
        </w:rPr>
        <w:t>supra</w:t>
      </w:r>
      <w:r w:rsidRPr="00182ADE">
        <w:rPr>
          <w:sz w:val="24"/>
          <w:szCs w:val="24"/>
        </w:rPr>
        <w:t xml:space="preserve"> note </w:t>
      </w:r>
      <w:r w:rsidR="00712B3E">
        <w:rPr>
          <w:sz w:val="24"/>
          <w:szCs w:val="24"/>
        </w:rPr>
        <w:t>30</w:t>
      </w:r>
      <w:r w:rsidRPr="00182ADE">
        <w:rPr>
          <w:sz w:val="24"/>
          <w:szCs w:val="24"/>
        </w:rPr>
        <w:t xml:space="preserve">. </w:t>
      </w:r>
    </w:p>
  </w:footnote>
  <w:footnote w:id="92">
    <w:p w:rsidR="00A424DC" w:rsidRPr="00182ADE" w:rsidRDefault="00A424DC">
      <w:pPr>
        <w:pStyle w:val="FootnoteText"/>
        <w:rPr>
          <w:i/>
          <w:sz w:val="24"/>
          <w:szCs w:val="24"/>
        </w:rPr>
      </w:pPr>
      <w:r w:rsidRPr="00182ADE">
        <w:rPr>
          <w:rStyle w:val="FootnoteReference"/>
          <w:sz w:val="24"/>
          <w:szCs w:val="24"/>
        </w:rPr>
        <w:footnoteRef/>
      </w:r>
      <w:r w:rsidRPr="00182ADE">
        <w:rPr>
          <w:sz w:val="24"/>
          <w:szCs w:val="24"/>
        </w:rPr>
        <w:t xml:space="preserve"> </w:t>
      </w:r>
      <w:r w:rsidRPr="00182ADE">
        <w:rPr>
          <w:i/>
          <w:sz w:val="24"/>
          <w:szCs w:val="24"/>
        </w:rPr>
        <w:t>See</w:t>
      </w:r>
      <w:r w:rsidRPr="00182ADE">
        <w:rPr>
          <w:sz w:val="24"/>
          <w:szCs w:val="24"/>
        </w:rPr>
        <w:t xml:space="preserve"> Mo. S. Bill No. 5 (2017),</w:t>
      </w:r>
      <w:r w:rsidRPr="00182ADE">
        <w:rPr>
          <w:i/>
          <w:sz w:val="24"/>
          <w:szCs w:val="24"/>
        </w:rPr>
        <w:t xml:space="preserve"> </w:t>
      </w:r>
      <w:hyperlink r:id="rId19" w:history="1">
        <w:r w:rsidRPr="00182ADE">
          <w:rPr>
            <w:rStyle w:val="Hyperlink"/>
            <w:i/>
            <w:sz w:val="24"/>
            <w:szCs w:val="24"/>
          </w:rPr>
          <w:t>https://legiscan.com/MO/text/SB5/2017</w:t>
        </w:r>
      </w:hyperlink>
      <w:r w:rsidRPr="00182ADE">
        <w:rPr>
          <w:i/>
          <w:sz w:val="24"/>
          <w:szCs w:val="24"/>
        </w:rPr>
        <w:t>.</w:t>
      </w:r>
    </w:p>
  </w:footnote>
  <w:footnote w:id="93">
    <w:p w:rsidR="00A424DC" w:rsidRPr="00182ADE" w:rsidRDefault="00A424DC">
      <w:pPr>
        <w:pStyle w:val="FootnoteText"/>
        <w:rPr>
          <w:sz w:val="24"/>
          <w:szCs w:val="24"/>
        </w:rPr>
      </w:pPr>
      <w:r w:rsidRPr="00182ADE">
        <w:rPr>
          <w:rStyle w:val="FootnoteReference"/>
          <w:sz w:val="24"/>
          <w:szCs w:val="24"/>
        </w:rPr>
        <w:footnoteRef/>
      </w:r>
      <w:r w:rsidRPr="00182ADE">
        <w:rPr>
          <w:sz w:val="24"/>
          <w:szCs w:val="24"/>
        </w:rPr>
        <w:t xml:space="preserve"> </w:t>
      </w:r>
      <w:r w:rsidRPr="00182ADE">
        <w:rPr>
          <w:i/>
          <w:sz w:val="24"/>
          <w:szCs w:val="24"/>
        </w:rPr>
        <w:t>See id.</w:t>
      </w:r>
      <w:r w:rsidRPr="00182ADE">
        <w:rPr>
          <w:sz w:val="24"/>
          <w:szCs w:val="24"/>
        </w:rPr>
        <w:t xml:space="preserve"> </w:t>
      </w:r>
    </w:p>
  </w:footnote>
  <w:footnote w:id="94">
    <w:p w:rsidR="00A424DC" w:rsidRPr="00182ADE" w:rsidRDefault="00A424DC">
      <w:pPr>
        <w:pStyle w:val="FootnoteText"/>
        <w:rPr>
          <w:sz w:val="24"/>
          <w:szCs w:val="24"/>
        </w:rPr>
      </w:pPr>
      <w:r w:rsidRPr="00182ADE">
        <w:rPr>
          <w:rStyle w:val="FootnoteReference"/>
          <w:sz w:val="24"/>
          <w:szCs w:val="24"/>
        </w:rPr>
        <w:footnoteRef/>
      </w:r>
      <w:r w:rsidRPr="00182ADE">
        <w:rPr>
          <w:sz w:val="24"/>
          <w:szCs w:val="24"/>
        </w:rPr>
        <w:t xml:space="preserve"> </w:t>
      </w:r>
      <w:r w:rsidRPr="00182ADE">
        <w:rPr>
          <w:i/>
          <w:sz w:val="24"/>
          <w:szCs w:val="24"/>
        </w:rPr>
        <w:t>See, e.g.,</w:t>
      </w:r>
      <w:r w:rsidRPr="00182ADE">
        <w:rPr>
          <w:sz w:val="24"/>
          <w:szCs w:val="24"/>
        </w:rPr>
        <w:t xml:space="preserve"> Shesgreen, </w:t>
      </w:r>
      <w:r w:rsidRPr="00182ADE">
        <w:rPr>
          <w:i/>
          <w:sz w:val="24"/>
          <w:szCs w:val="24"/>
        </w:rPr>
        <w:t>supra</w:t>
      </w:r>
      <w:r w:rsidRPr="00182ADE">
        <w:rPr>
          <w:sz w:val="24"/>
          <w:szCs w:val="24"/>
        </w:rPr>
        <w:t xml:space="preserve"> note 2</w:t>
      </w:r>
      <w:r w:rsidR="00712B3E">
        <w:rPr>
          <w:sz w:val="24"/>
          <w:szCs w:val="24"/>
        </w:rPr>
        <w:t>9</w:t>
      </w:r>
      <w:r w:rsidRPr="00182ADE">
        <w:rPr>
          <w:sz w:val="24"/>
          <w:szCs w:val="24"/>
        </w:rPr>
        <w:t xml:space="preserve">; Schmitt, </w:t>
      </w:r>
      <w:r w:rsidRPr="00182ADE">
        <w:rPr>
          <w:i/>
          <w:sz w:val="24"/>
          <w:szCs w:val="24"/>
        </w:rPr>
        <w:t>supra</w:t>
      </w:r>
      <w:r w:rsidRPr="00182ADE">
        <w:rPr>
          <w:sz w:val="24"/>
          <w:szCs w:val="24"/>
        </w:rPr>
        <w:t xml:space="preserve"> note </w:t>
      </w:r>
      <w:r w:rsidR="00712B3E">
        <w:rPr>
          <w:sz w:val="24"/>
          <w:szCs w:val="24"/>
        </w:rPr>
        <w:t>30</w:t>
      </w:r>
      <w:r w:rsidRPr="00182ADE">
        <w:rPr>
          <w:sz w:val="24"/>
          <w:szCs w:val="24"/>
        </w:rPr>
        <w:t>.</w:t>
      </w:r>
    </w:p>
  </w:footnote>
  <w:footnote w:id="95">
    <w:p w:rsidR="00A424DC" w:rsidRPr="00182ADE" w:rsidRDefault="00A424DC">
      <w:pPr>
        <w:pStyle w:val="FootnoteText"/>
        <w:rPr>
          <w:sz w:val="24"/>
          <w:szCs w:val="24"/>
        </w:rPr>
      </w:pPr>
      <w:r w:rsidRPr="00182ADE">
        <w:rPr>
          <w:rStyle w:val="FootnoteReference"/>
          <w:sz w:val="24"/>
          <w:szCs w:val="24"/>
        </w:rPr>
        <w:footnoteRef/>
      </w:r>
      <w:r w:rsidRPr="00182ADE">
        <w:rPr>
          <w:sz w:val="24"/>
          <w:szCs w:val="24"/>
        </w:rPr>
        <w:t xml:space="preserve"> </w:t>
      </w:r>
      <w:r w:rsidRPr="00182ADE">
        <w:rPr>
          <w:i/>
          <w:sz w:val="24"/>
          <w:szCs w:val="24"/>
        </w:rPr>
        <w:t>See</w:t>
      </w:r>
      <w:r w:rsidRPr="00182ADE">
        <w:rPr>
          <w:sz w:val="24"/>
          <w:szCs w:val="24"/>
        </w:rPr>
        <w:t xml:space="preserve"> Mo. S. Bill No. 5, </w:t>
      </w:r>
      <w:r w:rsidRPr="00182ADE">
        <w:rPr>
          <w:i/>
          <w:sz w:val="24"/>
          <w:szCs w:val="24"/>
        </w:rPr>
        <w:t>supra</w:t>
      </w:r>
      <w:r w:rsidRPr="00182ADE">
        <w:rPr>
          <w:sz w:val="24"/>
          <w:szCs w:val="24"/>
        </w:rPr>
        <w:t xml:space="preserve"> note 9</w:t>
      </w:r>
      <w:r w:rsidR="002F501C">
        <w:rPr>
          <w:sz w:val="24"/>
          <w:szCs w:val="24"/>
        </w:rPr>
        <w:t>2</w:t>
      </w:r>
      <w:r w:rsidRPr="00182ADE">
        <w:rPr>
          <w:sz w:val="24"/>
          <w:szCs w:val="24"/>
        </w:rPr>
        <w:t xml:space="preserve">, at 1-2. </w:t>
      </w:r>
    </w:p>
  </w:footnote>
  <w:footnote w:id="96">
    <w:p w:rsidR="00A424DC" w:rsidRPr="00182ADE" w:rsidRDefault="00A424DC">
      <w:pPr>
        <w:pStyle w:val="FootnoteText"/>
        <w:rPr>
          <w:sz w:val="24"/>
          <w:szCs w:val="24"/>
        </w:rPr>
      </w:pPr>
      <w:r w:rsidRPr="00182ADE">
        <w:rPr>
          <w:rStyle w:val="FootnoteReference"/>
          <w:sz w:val="24"/>
          <w:szCs w:val="24"/>
        </w:rPr>
        <w:footnoteRef/>
      </w:r>
      <w:r w:rsidRPr="00182ADE">
        <w:rPr>
          <w:sz w:val="24"/>
          <w:szCs w:val="24"/>
        </w:rPr>
        <w:t xml:space="preserve"> </w:t>
      </w:r>
      <w:r w:rsidRPr="00182ADE">
        <w:rPr>
          <w:i/>
          <w:sz w:val="24"/>
          <w:szCs w:val="24"/>
        </w:rPr>
        <w:t xml:space="preserve">See id. </w:t>
      </w:r>
      <w:r w:rsidRPr="00182ADE">
        <w:rPr>
          <w:sz w:val="24"/>
          <w:szCs w:val="24"/>
        </w:rPr>
        <w:t xml:space="preserve">at 2. </w:t>
      </w:r>
    </w:p>
  </w:footnote>
  <w:footnote w:id="97">
    <w:p w:rsidR="00A424DC" w:rsidRPr="004D3008" w:rsidRDefault="00A424DC">
      <w:pPr>
        <w:pStyle w:val="FootnoteText"/>
        <w:rPr>
          <w:sz w:val="24"/>
          <w:szCs w:val="24"/>
        </w:rPr>
      </w:pPr>
      <w:r w:rsidRPr="00182ADE">
        <w:rPr>
          <w:rStyle w:val="FootnoteReference"/>
          <w:sz w:val="24"/>
          <w:szCs w:val="24"/>
        </w:rPr>
        <w:footnoteRef/>
      </w:r>
      <w:r w:rsidRPr="00182ADE">
        <w:rPr>
          <w:sz w:val="24"/>
          <w:szCs w:val="24"/>
        </w:rPr>
        <w:t xml:space="preserve"> </w:t>
      </w:r>
      <w:r>
        <w:rPr>
          <w:i/>
          <w:sz w:val="24"/>
          <w:szCs w:val="24"/>
        </w:rPr>
        <w:t>See id.</w:t>
      </w:r>
      <w:r>
        <w:rPr>
          <w:sz w:val="24"/>
          <w:szCs w:val="24"/>
        </w:rPr>
        <w:t xml:space="preserve"> at 1.</w:t>
      </w:r>
      <w:r w:rsidRPr="004D3008">
        <w:rPr>
          <w:sz w:val="24"/>
          <w:szCs w:val="24"/>
        </w:rPr>
        <w:t xml:space="preserve"> </w:t>
      </w:r>
      <w:r w:rsidRPr="00BC1864">
        <w:rPr>
          <w:b/>
          <w:i/>
          <w:sz w:val="24"/>
          <w:szCs w:val="24"/>
        </w:rPr>
        <w:t>It is important here to note that states initially began moving away from FTC policies because they found that agency to be politically captured and/or generally ineffective at actually protecting consumers.</w:t>
      </w:r>
      <w:r w:rsidRPr="004D3008">
        <w:rPr>
          <w:b/>
          <w:sz w:val="24"/>
          <w:szCs w:val="24"/>
        </w:rPr>
        <w:t xml:space="preserve"> </w:t>
      </w:r>
      <w:r w:rsidRPr="004D3008">
        <w:rPr>
          <w:i/>
          <w:sz w:val="24"/>
          <w:szCs w:val="24"/>
        </w:rPr>
        <w:t>See</w:t>
      </w:r>
      <w:r>
        <w:rPr>
          <w:b/>
          <w:sz w:val="24"/>
          <w:szCs w:val="24"/>
        </w:rPr>
        <w:t xml:space="preserve"> </w:t>
      </w:r>
      <w:r>
        <w:rPr>
          <w:sz w:val="24"/>
          <w:szCs w:val="24"/>
        </w:rPr>
        <w:t xml:space="preserve">Searle Study, </w:t>
      </w:r>
      <w:r>
        <w:rPr>
          <w:i/>
          <w:sz w:val="24"/>
          <w:szCs w:val="24"/>
        </w:rPr>
        <w:t>supra</w:t>
      </w:r>
      <w:r>
        <w:rPr>
          <w:sz w:val="24"/>
          <w:szCs w:val="24"/>
        </w:rPr>
        <w:t xml:space="preserve"> note 33, at 5-6.</w:t>
      </w:r>
    </w:p>
  </w:footnote>
  <w:footnote w:id="98">
    <w:p w:rsidR="00A424DC" w:rsidRPr="001C321E" w:rsidRDefault="00A424DC">
      <w:pPr>
        <w:pStyle w:val="FootnoteText"/>
        <w:rPr>
          <w:sz w:val="24"/>
          <w:szCs w:val="24"/>
        </w:rPr>
      </w:pPr>
      <w:r w:rsidRPr="001C321E">
        <w:rPr>
          <w:rStyle w:val="FootnoteReference"/>
          <w:sz w:val="24"/>
          <w:szCs w:val="24"/>
        </w:rPr>
        <w:footnoteRef/>
      </w:r>
      <w:r w:rsidRPr="001C321E">
        <w:rPr>
          <w:sz w:val="24"/>
          <w:szCs w:val="24"/>
        </w:rPr>
        <w:t xml:space="preserve"> </w:t>
      </w:r>
      <w:r w:rsidRPr="001C321E">
        <w:rPr>
          <w:i/>
          <w:sz w:val="24"/>
          <w:szCs w:val="24"/>
        </w:rPr>
        <w:t>See</w:t>
      </w:r>
      <w:r w:rsidRPr="001C321E">
        <w:rPr>
          <w:sz w:val="24"/>
          <w:szCs w:val="24"/>
        </w:rPr>
        <w:t xml:space="preserve"> Mo. S. Bill No. 5, </w:t>
      </w:r>
      <w:r w:rsidRPr="001C321E">
        <w:rPr>
          <w:i/>
          <w:sz w:val="24"/>
          <w:szCs w:val="24"/>
        </w:rPr>
        <w:t>supra</w:t>
      </w:r>
      <w:r w:rsidRPr="001C321E">
        <w:rPr>
          <w:sz w:val="24"/>
          <w:szCs w:val="24"/>
        </w:rPr>
        <w:t xml:space="preserve"> note 91, at 2-5. </w:t>
      </w:r>
    </w:p>
  </w:footnote>
  <w:footnote w:id="99">
    <w:p w:rsidR="00A424DC" w:rsidRPr="001C321E" w:rsidRDefault="00A424DC" w:rsidP="00535987">
      <w:pPr>
        <w:pStyle w:val="FootnoteText"/>
        <w:rPr>
          <w:sz w:val="24"/>
          <w:szCs w:val="24"/>
        </w:rPr>
      </w:pPr>
      <w:r w:rsidRPr="001C321E">
        <w:rPr>
          <w:rStyle w:val="FootnoteReference"/>
          <w:sz w:val="24"/>
          <w:szCs w:val="24"/>
        </w:rPr>
        <w:footnoteRef/>
      </w:r>
      <w:r w:rsidRPr="001C321E">
        <w:rPr>
          <w:i/>
          <w:sz w:val="24"/>
          <w:szCs w:val="24"/>
        </w:rPr>
        <w:t xml:space="preserve">See </w:t>
      </w:r>
      <w:r w:rsidRPr="001C321E">
        <w:rPr>
          <w:sz w:val="24"/>
          <w:szCs w:val="24"/>
        </w:rPr>
        <w:t xml:space="preserve">Jason Hancock, </w:t>
      </w:r>
      <w:r w:rsidRPr="001C321E">
        <w:rPr>
          <w:i/>
          <w:sz w:val="24"/>
          <w:szCs w:val="24"/>
        </w:rPr>
        <w:t>Pay to Play? Missouri Senate Leader Faces Questions About Consumer Protection Bill</w:t>
      </w:r>
      <w:r w:rsidRPr="001C321E">
        <w:rPr>
          <w:sz w:val="24"/>
          <w:szCs w:val="24"/>
        </w:rPr>
        <w:t xml:space="preserve">, </w:t>
      </w:r>
      <w:r w:rsidRPr="001C321E">
        <w:rPr>
          <w:smallCaps/>
          <w:sz w:val="24"/>
          <w:szCs w:val="24"/>
        </w:rPr>
        <w:t>Kansas City Star</w:t>
      </w:r>
      <w:r w:rsidRPr="001C321E">
        <w:rPr>
          <w:sz w:val="24"/>
          <w:szCs w:val="24"/>
        </w:rPr>
        <w:t xml:space="preserve"> (Apr. 11, 2017),</w:t>
      </w:r>
      <w:r w:rsidRPr="001C321E">
        <w:rPr>
          <w:i/>
          <w:sz w:val="24"/>
          <w:szCs w:val="24"/>
        </w:rPr>
        <w:t xml:space="preserve"> </w:t>
      </w:r>
      <w:hyperlink r:id="rId20" w:history="1">
        <w:r w:rsidRPr="001C321E">
          <w:rPr>
            <w:rStyle w:val="Hyperlink"/>
            <w:sz w:val="24"/>
            <w:szCs w:val="24"/>
          </w:rPr>
          <w:t>http://www.kansascity.com/news/politics-government/article143921979.html</w:t>
        </w:r>
      </w:hyperlink>
      <w:r w:rsidRPr="001C321E">
        <w:rPr>
          <w:sz w:val="24"/>
          <w:szCs w:val="24"/>
        </w:rPr>
        <w:t xml:space="preserve">; </w:t>
      </w:r>
      <w:r w:rsidRPr="001C321E">
        <w:rPr>
          <w:i/>
          <w:sz w:val="24"/>
          <w:szCs w:val="24"/>
        </w:rPr>
        <w:t xml:space="preserve">see also </w:t>
      </w:r>
      <w:r w:rsidRPr="001C321E">
        <w:rPr>
          <w:sz w:val="24"/>
          <w:szCs w:val="24"/>
        </w:rPr>
        <w:t xml:space="preserve">David Hudnall, </w:t>
      </w:r>
      <w:hyperlink r:id="rId21" w:history="1">
        <w:r w:rsidRPr="001C321E">
          <w:rPr>
            <w:rStyle w:val="Hyperlink"/>
            <w:sz w:val="24"/>
            <w:szCs w:val="24"/>
          </w:rPr>
          <w:t>https://www.pitch.com/news/blog/20854625/kiss-my-ass-says-missouri-senate-president-called-out-for-carrying-water-for-his-millionaire-donor</w:t>
        </w:r>
      </w:hyperlink>
    </w:p>
  </w:footnote>
  <w:footnote w:id="100">
    <w:p w:rsidR="00A424DC" w:rsidRPr="001C321E" w:rsidRDefault="00A424DC">
      <w:pPr>
        <w:pStyle w:val="FootnoteText"/>
        <w:rPr>
          <w:sz w:val="24"/>
          <w:szCs w:val="24"/>
        </w:rPr>
      </w:pPr>
      <w:r w:rsidRPr="001C321E">
        <w:rPr>
          <w:rStyle w:val="FootnoteReference"/>
          <w:sz w:val="24"/>
          <w:szCs w:val="24"/>
        </w:rPr>
        <w:footnoteRef/>
      </w:r>
      <w:r w:rsidRPr="001C321E">
        <w:rPr>
          <w:sz w:val="24"/>
          <w:szCs w:val="24"/>
        </w:rPr>
        <w:t xml:space="preserve"> </w:t>
      </w:r>
      <w:r w:rsidRPr="001C321E">
        <w:rPr>
          <w:i/>
          <w:sz w:val="24"/>
          <w:szCs w:val="24"/>
        </w:rPr>
        <w:t xml:space="preserve">See </w:t>
      </w:r>
      <w:r w:rsidRPr="001C321E">
        <w:rPr>
          <w:sz w:val="24"/>
          <w:szCs w:val="24"/>
        </w:rPr>
        <w:t xml:space="preserve">Mo. S. Bill No. 5, </w:t>
      </w:r>
      <w:r w:rsidRPr="001C321E">
        <w:rPr>
          <w:i/>
          <w:sz w:val="24"/>
          <w:szCs w:val="24"/>
        </w:rPr>
        <w:t>supra</w:t>
      </w:r>
      <w:r w:rsidRPr="001C321E">
        <w:rPr>
          <w:sz w:val="24"/>
          <w:szCs w:val="24"/>
        </w:rPr>
        <w:t xml:space="preserve"> note 91. </w:t>
      </w:r>
    </w:p>
  </w:footnote>
  <w:footnote w:id="101">
    <w:p w:rsidR="00A424DC" w:rsidRPr="001C321E" w:rsidRDefault="00A424DC">
      <w:pPr>
        <w:pStyle w:val="FootnoteText"/>
        <w:rPr>
          <w:sz w:val="24"/>
          <w:szCs w:val="24"/>
        </w:rPr>
      </w:pPr>
      <w:r w:rsidRPr="001C321E">
        <w:rPr>
          <w:rStyle w:val="FootnoteReference"/>
          <w:sz w:val="24"/>
          <w:szCs w:val="24"/>
        </w:rPr>
        <w:footnoteRef/>
      </w:r>
      <w:r w:rsidRPr="001C321E">
        <w:rPr>
          <w:sz w:val="24"/>
          <w:szCs w:val="24"/>
        </w:rPr>
        <w:t xml:space="preserve"> </w:t>
      </w:r>
      <w:r w:rsidRPr="001C321E">
        <w:rPr>
          <w:i/>
          <w:iCs/>
          <w:sz w:val="24"/>
          <w:szCs w:val="24"/>
        </w:rPr>
        <w:t>See, e.g.,</w:t>
      </w:r>
      <w:r w:rsidRPr="001C321E">
        <w:rPr>
          <w:sz w:val="24"/>
          <w:szCs w:val="24"/>
        </w:rPr>
        <w:t xml:space="preserve"> </w:t>
      </w:r>
      <w:r w:rsidR="00432E83" w:rsidRPr="00432E83">
        <w:rPr>
          <w:smallCaps/>
          <w:sz w:val="24"/>
          <w:szCs w:val="24"/>
        </w:rPr>
        <w:t>Missouri Campaign Finance</w:t>
      </w:r>
      <w:r w:rsidR="00432E83">
        <w:rPr>
          <w:sz w:val="24"/>
          <w:szCs w:val="24"/>
        </w:rPr>
        <w:t xml:space="preserve">, SB 591, </w:t>
      </w:r>
      <w:r w:rsidR="00432E83" w:rsidRPr="00432E83">
        <w:rPr>
          <w:sz w:val="24"/>
          <w:szCs w:val="24"/>
        </w:rPr>
        <w:t>https://graphics.stltoday.com/apps/campaign-finance/missouri/bill/senate-2020-r-sb-591/</w:t>
      </w:r>
      <w:r w:rsidR="00432E83">
        <w:rPr>
          <w:sz w:val="24"/>
          <w:szCs w:val="24"/>
        </w:rPr>
        <w:t xml:space="preserve"> (last visited Mar. 9, 2020).</w:t>
      </w:r>
    </w:p>
  </w:footnote>
  <w:footnote w:id="102">
    <w:p w:rsidR="0045377F" w:rsidRPr="0045377F" w:rsidRDefault="0045377F">
      <w:pPr>
        <w:pStyle w:val="FootnoteText"/>
        <w:rPr>
          <w:sz w:val="24"/>
          <w:szCs w:val="24"/>
        </w:rPr>
      </w:pPr>
      <w:r w:rsidRPr="0045377F">
        <w:rPr>
          <w:rStyle w:val="FootnoteReference"/>
          <w:sz w:val="24"/>
          <w:szCs w:val="24"/>
        </w:rPr>
        <w:footnoteRef/>
      </w:r>
      <w:r w:rsidRPr="0045377F">
        <w:rPr>
          <w:sz w:val="24"/>
          <w:szCs w:val="24"/>
        </w:rPr>
        <w:t xml:space="preserve"> For example, here we have </w:t>
      </w:r>
      <w:r>
        <w:rPr>
          <w:sz w:val="24"/>
          <w:szCs w:val="24"/>
        </w:rPr>
        <w:t xml:space="preserve">(in “Globe News Wire”?) </w:t>
      </w:r>
      <w:r w:rsidRPr="0045377F">
        <w:rPr>
          <w:sz w:val="24"/>
          <w:szCs w:val="24"/>
        </w:rPr>
        <w:t>Texans for Lawsuit Reform—a lobbying organization—</w:t>
      </w:r>
      <w:r>
        <w:rPr>
          <w:sz w:val="24"/>
          <w:szCs w:val="24"/>
        </w:rPr>
        <w:t xml:space="preserve">citing, naturally, “nationally recognized economist Ray Perryman” as to the economic windfall supposedly generated by lawsuit reform in Texas: </w:t>
      </w:r>
      <w:r w:rsidRPr="0045377F">
        <w:rPr>
          <w:sz w:val="24"/>
          <w:szCs w:val="24"/>
        </w:rPr>
        <w:t>https://www.globenewswire.com/news-release/2008/04/28/377163/141104/en/Lawsuit-Reform-Huge-Boost-to-Texas-Economy.html</w:t>
      </w:r>
      <w:r>
        <w:rPr>
          <w:sz w:val="24"/>
          <w:szCs w:val="24"/>
        </w:rPr>
        <w:t>.</w:t>
      </w:r>
    </w:p>
  </w:footnote>
  <w:footnote w:id="103">
    <w:p w:rsidR="00431307" w:rsidRPr="006D1401" w:rsidRDefault="00431307">
      <w:pPr>
        <w:pStyle w:val="FootnoteText"/>
        <w:rPr>
          <w:sz w:val="24"/>
          <w:szCs w:val="24"/>
        </w:rPr>
      </w:pPr>
      <w:r w:rsidRPr="006D1401">
        <w:rPr>
          <w:rStyle w:val="FootnoteReference"/>
          <w:sz w:val="24"/>
          <w:szCs w:val="24"/>
        </w:rPr>
        <w:footnoteRef/>
      </w:r>
      <w:r w:rsidRPr="006D1401">
        <w:rPr>
          <w:sz w:val="24"/>
          <w:szCs w:val="24"/>
        </w:rPr>
        <w:t xml:space="preserve"> </w:t>
      </w:r>
      <w:r w:rsidRPr="006D1401">
        <w:rPr>
          <w:i/>
          <w:iCs/>
          <w:sz w:val="24"/>
          <w:szCs w:val="24"/>
        </w:rPr>
        <w:t xml:space="preserve">See, e.g., </w:t>
      </w:r>
      <w:r w:rsidR="000715DA">
        <w:rPr>
          <w:sz w:val="24"/>
          <w:szCs w:val="24"/>
        </w:rPr>
        <w:t xml:space="preserve">Tommy Witherspoon, </w:t>
      </w:r>
      <w:r w:rsidRPr="006D1401">
        <w:rPr>
          <w:sz w:val="24"/>
          <w:szCs w:val="24"/>
        </w:rPr>
        <w:t xml:space="preserve">“Acclaimed Local Economist Sued for Allegedly Defaulting on Credit Card,” </w:t>
      </w:r>
      <w:r w:rsidR="000715DA" w:rsidRPr="006D1401">
        <w:rPr>
          <w:smallCaps/>
          <w:sz w:val="24"/>
          <w:szCs w:val="24"/>
        </w:rPr>
        <w:t>Waco Tribune-Herald</w:t>
      </w:r>
      <w:r w:rsidR="000715DA" w:rsidRPr="006D1401">
        <w:rPr>
          <w:sz w:val="24"/>
          <w:szCs w:val="24"/>
        </w:rPr>
        <w:t xml:space="preserve"> </w:t>
      </w:r>
      <w:r w:rsidR="006D1401" w:rsidRPr="006D1401">
        <w:rPr>
          <w:sz w:val="24"/>
          <w:szCs w:val="24"/>
        </w:rPr>
        <w:t xml:space="preserve">(Nov. 3, 2010), </w:t>
      </w:r>
      <w:r w:rsidRPr="006D1401">
        <w:rPr>
          <w:i/>
          <w:iCs/>
          <w:sz w:val="24"/>
          <w:szCs w:val="24"/>
        </w:rPr>
        <w:t>https://www.wacotrib.com/news/acclaimed-local-economist-sued-for-allegedly-defaulting-on-credit-card/article_daa41886-5e74-514e-9971-89c3fcd26ec7.html</w:t>
      </w:r>
      <w:r w:rsidR="006D1401">
        <w:rPr>
          <w:sz w:val="24"/>
          <w:szCs w:val="24"/>
        </w:rPr>
        <w:t xml:space="preserve">. </w:t>
      </w:r>
    </w:p>
  </w:footnote>
  <w:footnote w:id="104">
    <w:p w:rsidR="005B5BBB" w:rsidRPr="005B5BBB" w:rsidRDefault="005B5BBB">
      <w:pPr>
        <w:pStyle w:val="FootnoteText"/>
        <w:rPr>
          <w:sz w:val="24"/>
          <w:szCs w:val="24"/>
        </w:rPr>
      </w:pPr>
      <w:r w:rsidRPr="005B5BBB">
        <w:rPr>
          <w:rStyle w:val="FootnoteReference"/>
          <w:sz w:val="24"/>
          <w:szCs w:val="24"/>
        </w:rPr>
        <w:footnoteRef/>
      </w:r>
      <w:r w:rsidRPr="005B5BBB">
        <w:rPr>
          <w:i/>
          <w:iCs/>
          <w:sz w:val="24"/>
          <w:szCs w:val="24"/>
        </w:rPr>
        <w:t>Available at, e.g.</w:t>
      </w:r>
      <w:r w:rsidRPr="005B5BBB">
        <w:rPr>
          <w:sz w:val="24"/>
          <w:szCs w:val="24"/>
        </w:rPr>
        <w:t>, https://d3n8a8pro7vhmx.cloudfront.net/cala/pages/67/attachments/original/1582657309/CALA_Tort_Reform_Impact_MO_Report.pdf?1582657309 (last visited Mar. 9,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500"/>
    <w:multiLevelType w:val="hybridMultilevel"/>
    <w:tmpl w:val="71BE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D0D61"/>
    <w:multiLevelType w:val="hybridMultilevel"/>
    <w:tmpl w:val="3A0A0D7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47013D29"/>
    <w:multiLevelType w:val="multilevel"/>
    <w:tmpl w:val="3E76B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F10A02"/>
    <w:multiLevelType w:val="hybridMultilevel"/>
    <w:tmpl w:val="1E9CBAD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4D7"/>
    <w:rsid w:val="000000B0"/>
    <w:rsid w:val="00001D20"/>
    <w:rsid w:val="00002251"/>
    <w:rsid w:val="00003162"/>
    <w:rsid w:val="00003234"/>
    <w:rsid w:val="00004245"/>
    <w:rsid w:val="00007497"/>
    <w:rsid w:val="0001005D"/>
    <w:rsid w:val="00010645"/>
    <w:rsid w:val="00015CD7"/>
    <w:rsid w:val="000222CA"/>
    <w:rsid w:val="00026151"/>
    <w:rsid w:val="00026D90"/>
    <w:rsid w:val="00026DF0"/>
    <w:rsid w:val="000272A2"/>
    <w:rsid w:val="000275B9"/>
    <w:rsid w:val="00030E13"/>
    <w:rsid w:val="000320BE"/>
    <w:rsid w:val="00033907"/>
    <w:rsid w:val="0003621F"/>
    <w:rsid w:val="000366B9"/>
    <w:rsid w:val="00036E74"/>
    <w:rsid w:val="0004032E"/>
    <w:rsid w:val="00042F6E"/>
    <w:rsid w:val="0004374B"/>
    <w:rsid w:val="00044709"/>
    <w:rsid w:val="00045261"/>
    <w:rsid w:val="000455DD"/>
    <w:rsid w:val="00047607"/>
    <w:rsid w:val="00053213"/>
    <w:rsid w:val="000541B9"/>
    <w:rsid w:val="00054AEF"/>
    <w:rsid w:val="0005561C"/>
    <w:rsid w:val="00055DE2"/>
    <w:rsid w:val="00061479"/>
    <w:rsid w:val="00061786"/>
    <w:rsid w:val="000635BD"/>
    <w:rsid w:val="00065017"/>
    <w:rsid w:val="000669C7"/>
    <w:rsid w:val="00066DEC"/>
    <w:rsid w:val="000700DE"/>
    <w:rsid w:val="00070B1B"/>
    <w:rsid w:val="000715DA"/>
    <w:rsid w:val="00071E40"/>
    <w:rsid w:val="00072C0D"/>
    <w:rsid w:val="00074700"/>
    <w:rsid w:val="000773C0"/>
    <w:rsid w:val="000817D6"/>
    <w:rsid w:val="00082349"/>
    <w:rsid w:val="00084FD9"/>
    <w:rsid w:val="00085FB4"/>
    <w:rsid w:val="00086453"/>
    <w:rsid w:val="00087ECE"/>
    <w:rsid w:val="00090808"/>
    <w:rsid w:val="00093ED2"/>
    <w:rsid w:val="00096345"/>
    <w:rsid w:val="00096802"/>
    <w:rsid w:val="00096AFE"/>
    <w:rsid w:val="000A1A45"/>
    <w:rsid w:val="000A26BF"/>
    <w:rsid w:val="000A3373"/>
    <w:rsid w:val="000A4C41"/>
    <w:rsid w:val="000A578D"/>
    <w:rsid w:val="000A70ED"/>
    <w:rsid w:val="000A79EF"/>
    <w:rsid w:val="000B108C"/>
    <w:rsid w:val="000B2C16"/>
    <w:rsid w:val="000B4582"/>
    <w:rsid w:val="000B5CA5"/>
    <w:rsid w:val="000B6D4C"/>
    <w:rsid w:val="000C367F"/>
    <w:rsid w:val="000C5FDF"/>
    <w:rsid w:val="000C75D7"/>
    <w:rsid w:val="000C7E56"/>
    <w:rsid w:val="000D001C"/>
    <w:rsid w:val="000D0645"/>
    <w:rsid w:val="000D08D6"/>
    <w:rsid w:val="000D215C"/>
    <w:rsid w:val="000D403D"/>
    <w:rsid w:val="000D408A"/>
    <w:rsid w:val="000D41E5"/>
    <w:rsid w:val="000D4668"/>
    <w:rsid w:val="000D4886"/>
    <w:rsid w:val="000D4C94"/>
    <w:rsid w:val="000D6F7E"/>
    <w:rsid w:val="000D7AE8"/>
    <w:rsid w:val="000E01D9"/>
    <w:rsid w:val="000E0371"/>
    <w:rsid w:val="000E2616"/>
    <w:rsid w:val="000E38B4"/>
    <w:rsid w:val="000E409C"/>
    <w:rsid w:val="000E6966"/>
    <w:rsid w:val="000E7ADC"/>
    <w:rsid w:val="000F1A79"/>
    <w:rsid w:val="000F2A2D"/>
    <w:rsid w:val="000F330B"/>
    <w:rsid w:val="000F4647"/>
    <w:rsid w:val="000F5345"/>
    <w:rsid w:val="000F5502"/>
    <w:rsid w:val="000F6C26"/>
    <w:rsid w:val="001012BC"/>
    <w:rsid w:val="0010182E"/>
    <w:rsid w:val="001019D5"/>
    <w:rsid w:val="00101F0B"/>
    <w:rsid w:val="0010674C"/>
    <w:rsid w:val="001104DD"/>
    <w:rsid w:val="00111296"/>
    <w:rsid w:val="0011169C"/>
    <w:rsid w:val="00112D97"/>
    <w:rsid w:val="00114FCF"/>
    <w:rsid w:val="00115A3C"/>
    <w:rsid w:val="00120686"/>
    <w:rsid w:val="00120B25"/>
    <w:rsid w:val="001232B2"/>
    <w:rsid w:val="00123AAE"/>
    <w:rsid w:val="0012547B"/>
    <w:rsid w:val="00125E37"/>
    <w:rsid w:val="001272F4"/>
    <w:rsid w:val="00127E89"/>
    <w:rsid w:val="001325D4"/>
    <w:rsid w:val="0013262D"/>
    <w:rsid w:val="00133A84"/>
    <w:rsid w:val="001351E7"/>
    <w:rsid w:val="00141C5E"/>
    <w:rsid w:val="001444D9"/>
    <w:rsid w:val="00145D51"/>
    <w:rsid w:val="00147C2D"/>
    <w:rsid w:val="00152E9D"/>
    <w:rsid w:val="001530D7"/>
    <w:rsid w:val="00153446"/>
    <w:rsid w:val="0015423E"/>
    <w:rsid w:val="00155442"/>
    <w:rsid w:val="00155C17"/>
    <w:rsid w:val="00161A10"/>
    <w:rsid w:val="00162442"/>
    <w:rsid w:val="00164078"/>
    <w:rsid w:val="00165E9B"/>
    <w:rsid w:val="00166E97"/>
    <w:rsid w:val="00167EF0"/>
    <w:rsid w:val="001703EE"/>
    <w:rsid w:val="001729D9"/>
    <w:rsid w:val="00173ECA"/>
    <w:rsid w:val="00174749"/>
    <w:rsid w:val="00180DAD"/>
    <w:rsid w:val="00182ADE"/>
    <w:rsid w:val="0018331B"/>
    <w:rsid w:val="0018358E"/>
    <w:rsid w:val="00184915"/>
    <w:rsid w:val="00184D7E"/>
    <w:rsid w:val="00185AC7"/>
    <w:rsid w:val="00194D58"/>
    <w:rsid w:val="0019559A"/>
    <w:rsid w:val="001967AB"/>
    <w:rsid w:val="00197792"/>
    <w:rsid w:val="001979E0"/>
    <w:rsid w:val="001A074C"/>
    <w:rsid w:val="001A0E07"/>
    <w:rsid w:val="001A30F2"/>
    <w:rsid w:val="001A32C7"/>
    <w:rsid w:val="001A3B84"/>
    <w:rsid w:val="001A4036"/>
    <w:rsid w:val="001A41BF"/>
    <w:rsid w:val="001A5DE8"/>
    <w:rsid w:val="001B093C"/>
    <w:rsid w:val="001B1367"/>
    <w:rsid w:val="001B1B7D"/>
    <w:rsid w:val="001B25FF"/>
    <w:rsid w:val="001B28E3"/>
    <w:rsid w:val="001C264C"/>
    <w:rsid w:val="001C321E"/>
    <w:rsid w:val="001C326F"/>
    <w:rsid w:val="001C37A5"/>
    <w:rsid w:val="001C46DB"/>
    <w:rsid w:val="001C4E62"/>
    <w:rsid w:val="001C5A25"/>
    <w:rsid w:val="001C747C"/>
    <w:rsid w:val="001C7BBC"/>
    <w:rsid w:val="001D1A55"/>
    <w:rsid w:val="001D1F5D"/>
    <w:rsid w:val="001D1FF1"/>
    <w:rsid w:val="001D45E9"/>
    <w:rsid w:val="001E0D58"/>
    <w:rsid w:val="001E2598"/>
    <w:rsid w:val="001E4F20"/>
    <w:rsid w:val="001E720D"/>
    <w:rsid w:val="001E75D3"/>
    <w:rsid w:val="001E7F52"/>
    <w:rsid w:val="001F1490"/>
    <w:rsid w:val="001F211D"/>
    <w:rsid w:val="001F7587"/>
    <w:rsid w:val="00202504"/>
    <w:rsid w:val="00206497"/>
    <w:rsid w:val="00207F88"/>
    <w:rsid w:val="0021084E"/>
    <w:rsid w:val="00211C09"/>
    <w:rsid w:val="00213D10"/>
    <w:rsid w:val="00216541"/>
    <w:rsid w:val="00216E24"/>
    <w:rsid w:val="00220B54"/>
    <w:rsid w:val="00220D7D"/>
    <w:rsid w:val="00222C63"/>
    <w:rsid w:val="00223DEF"/>
    <w:rsid w:val="002302DC"/>
    <w:rsid w:val="00230AC7"/>
    <w:rsid w:val="00230D15"/>
    <w:rsid w:val="0023273B"/>
    <w:rsid w:val="002358D6"/>
    <w:rsid w:val="00240CF0"/>
    <w:rsid w:val="00243182"/>
    <w:rsid w:val="00246045"/>
    <w:rsid w:val="0024691B"/>
    <w:rsid w:val="00247758"/>
    <w:rsid w:val="00251598"/>
    <w:rsid w:val="00251798"/>
    <w:rsid w:val="00251F1D"/>
    <w:rsid w:val="00255CEC"/>
    <w:rsid w:val="002629F8"/>
    <w:rsid w:val="00262ABF"/>
    <w:rsid w:val="00273383"/>
    <w:rsid w:val="0027350B"/>
    <w:rsid w:val="00277388"/>
    <w:rsid w:val="00282222"/>
    <w:rsid w:val="00283FAC"/>
    <w:rsid w:val="002852ED"/>
    <w:rsid w:val="0028563C"/>
    <w:rsid w:val="002868DD"/>
    <w:rsid w:val="00287AB6"/>
    <w:rsid w:val="00290E32"/>
    <w:rsid w:val="002913E4"/>
    <w:rsid w:val="002917E3"/>
    <w:rsid w:val="002A1EB0"/>
    <w:rsid w:val="002A2C25"/>
    <w:rsid w:val="002A3160"/>
    <w:rsid w:val="002A58AF"/>
    <w:rsid w:val="002A648D"/>
    <w:rsid w:val="002B06E7"/>
    <w:rsid w:val="002B2C72"/>
    <w:rsid w:val="002B2E97"/>
    <w:rsid w:val="002B47D3"/>
    <w:rsid w:val="002B4D88"/>
    <w:rsid w:val="002B5A5E"/>
    <w:rsid w:val="002B7348"/>
    <w:rsid w:val="002C1CD6"/>
    <w:rsid w:val="002C3F41"/>
    <w:rsid w:val="002C4148"/>
    <w:rsid w:val="002C5767"/>
    <w:rsid w:val="002D4749"/>
    <w:rsid w:val="002D5B61"/>
    <w:rsid w:val="002D630E"/>
    <w:rsid w:val="002D6A12"/>
    <w:rsid w:val="002D6E1E"/>
    <w:rsid w:val="002D7107"/>
    <w:rsid w:val="002D7919"/>
    <w:rsid w:val="002E56D2"/>
    <w:rsid w:val="002F261A"/>
    <w:rsid w:val="002F4E1E"/>
    <w:rsid w:val="002F501C"/>
    <w:rsid w:val="002F5E41"/>
    <w:rsid w:val="002F7689"/>
    <w:rsid w:val="0030392D"/>
    <w:rsid w:val="00304743"/>
    <w:rsid w:val="003104C0"/>
    <w:rsid w:val="00310632"/>
    <w:rsid w:val="00312893"/>
    <w:rsid w:val="0031481F"/>
    <w:rsid w:val="00317A5A"/>
    <w:rsid w:val="003200E5"/>
    <w:rsid w:val="00323034"/>
    <w:rsid w:val="00324D20"/>
    <w:rsid w:val="00325FF9"/>
    <w:rsid w:val="0032703A"/>
    <w:rsid w:val="00331D36"/>
    <w:rsid w:val="00334FDE"/>
    <w:rsid w:val="00336344"/>
    <w:rsid w:val="00336CE7"/>
    <w:rsid w:val="003428C0"/>
    <w:rsid w:val="00345BFE"/>
    <w:rsid w:val="00347199"/>
    <w:rsid w:val="003478A6"/>
    <w:rsid w:val="003514C5"/>
    <w:rsid w:val="00361998"/>
    <w:rsid w:val="00362764"/>
    <w:rsid w:val="00363A46"/>
    <w:rsid w:val="003646F0"/>
    <w:rsid w:val="003651A2"/>
    <w:rsid w:val="003662FF"/>
    <w:rsid w:val="00366715"/>
    <w:rsid w:val="00370BAC"/>
    <w:rsid w:val="00371715"/>
    <w:rsid w:val="003752C0"/>
    <w:rsid w:val="003754CB"/>
    <w:rsid w:val="0037656A"/>
    <w:rsid w:val="00376C6C"/>
    <w:rsid w:val="00381AE0"/>
    <w:rsid w:val="00381DC8"/>
    <w:rsid w:val="00382757"/>
    <w:rsid w:val="003827C0"/>
    <w:rsid w:val="00383E64"/>
    <w:rsid w:val="00385E5E"/>
    <w:rsid w:val="00386AC1"/>
    <w:rsid w:val="00390371"/>
    <w:rsid w:val="00390ED8"/>
    <w:rsid w:val="00392ABC"/>
    <w:rsid w:val="003937EA"/>
    <w:rsid w:val="003943FE"/>
    <w:rsid w:val="00395258"/>
    <w:rsid w:val="003974DA"/>
    <w:rsid w:val="003975CE"/>
    <w:rsid w:val="00397DEE"/>
    <w:rsid w:val="003A226B"/>
    <w:rsid w:val="003A2A91"/>
    <w:rsid w:val="003A3EBF"/>
    <w:rsid w:val="003B1AD6"/>
    <w:rsid w:val="003B22FF"/>
    <w:rsid w:val="003B2F14"/>
    <w:rsid w:val="003B7B52"/>
    <w:rsid w:val="003C3E3C"/>
    <w:rsid w:val="003C67BB"/>
    <w:rsid w:val="003C6C2F"/>
    <w:rsid w:val="003C6D54"/>
    <w:rsid w:val="003C79C3"/>
    <w:rsid w:val="003D02F2"/>
    <w:rsid w:val="003D0323"/>
    <w:rsid w:val="003D088A"/>
    <w:rsid w:val="003D1556"/>
    <w:rsid w:val="003D5675"/>
    <w:rsid w:val="003D67E8"/>
    <w:rsid w:val="003D6A1D"/>
    <w:rsid w:val="003D6E4E"/>
    <w:rsid w:val="003D7755"/>
    <w:rsid w:val="003E158D"/>
    <w:rsid w:val="003E3C74"/>
    <w:rsid w:val="003E46DE"/>
    <w:rsid w:val="003E5ECF"/>
    <w:rsid w:val="003E706C"/>
    <w:rsid w:val="003F1020"/>
    <w:rsid w:val="003F3B69"/>
    <w:rsid w:val="003F5642"/>
    <w:rsid w:val="003F6958"/>
    <w:rsid w:val="003F7B35"/>
    <w:rsid w:val="003F7D7A"/>
    <w:rsid w:val="00400CE0"/>
    <w:rsid w:val="00404EA7"/>
    <w:rsid w:val="0040557B"/>
    <w:rsid w:val="0041192D"/>
    <w:rsid w:val="0041258E"/>
    <w:rsid w:val="00413934"/>
    <w:rsid w:val="004149A9"/>
    <w:rsid w:val="00417791"/>
    <w:rsid w:val="00420504"/>
    <w:rsid w:val="00420C90"/>
    <w:rsid w:val="00421484"/>
    <w:rsid w:val="004223D9"/>
    <w:rsid w:val="00427536"/>
    <w:rsid w:val="00431307"/>
    <w:rsid w:val="004320C8"/>
    <w:rsid w:val="00432E83"/>
    <w:rsid w:val="00434A8E"/>
    <w:rsid w:val="004356BB"/>
    <w:rsid w:val="00436D66"/>
    <w:rsid w:val="00437288"/>
    <w:rsid w:val="00437467"/>
    <w:rsid w:val="004444E6"/>
    <w:rsid w:val="0044471E"/>
    <w:rsid w:val="00447FC7"/>
    <w:rsid w:val="004511EC"/>
    <w:rsid w:val="0045377F"/>
    <w:rsid w:val="00455683"/>
    <w:rsid w:val="00456055"/>
    <w:rsid w:val="00457AB9"/>
    <w:rsid w:val="004653F4"/>
    <w:rsid w:val="00467D0C"/>
    <w:rsid w:val="00471070"/>
    <w:rsid w:val="004711F9"/>
    <w:rsid w:val="004720E1"/>
    <w:rsid w:val="00472603"/>
    <w:rsid w:val="00474E4D"/>
    <w:rsid w:val="004801CC"/>
    <w:rsid w:val="00480C1B"/>
    <w:rsid w:val="0048114B"/>
    <w:rsid w:val="004837A0"/>
    <w:rsid w:val="004843FA"/>
    <w:rsid w:val="004845B8"/>
    <w:rsid w:val="00487BE0"/>
    <w:rsid w:val="00487EFA"/>
    <w:rsid w:val="00492BC5"/>
    <w:rsid w:val="0049709A"/>
    <w:rsid w:val="004A0855"/>
    <w:rsid w:val="004A1844"/>
    <w:rsid w:val="004A2B29"/>
    <w:rsid w:val="004A4B14"/>
    <w:rsid w:val="004A53C7"/>
    <w:rsid w:val="004A5658"/>
    <w:rsid w:val="004A5F3D"/>
    <w:rsid w:val="004A6878"/>
    <w:rsid w:val="004B15C6"/>
    <w:rsid w:val="004B52CD"/>
    <w:rsid w:val="004C0075"/>
    <w:rsid w:val="004C0207"/>
    <w:rsid w:val="004C26DE"/>
    <w:rsid w:val="004C3486"/>
    <w:rsid w:val="004C42D5"/>
    <w:rsid w:val="004C48B4"/>
    <w:rsid w:val="004C749F"/>
    <w:rsid w:val="004D0DF2"/>
    <w:rsid w:val="004D1956"/>
    <w:rsid w:val="004D3008"/>
    <w:rsid w:val="004D585A"/>
    <w:rsid w:val="004D5FB9"/>
    <w:rsid w:val="004D70A7"/>
    <w:rsid w:val="004E0844"/>
    <w:rsid w:val="004E0A06"/>
    <w:rsid w:val="004E14ED"/>
    <w:rsid w:val="004E2DA9"/>
    <w:rsid w:val="004E33C9"/>
    <w:rsid w:val="004E602A"/>
    <w:rsid w:val="004F1918"/>
    <w:rsid w:val="004F1C4B"/>
    <w:rsid w:val="00500515"/>
    <w:rsid w:val="0050059B"/>
    <w:rsid w:val="005007AD"/>
    <w:rsid w:val="00500CD6"/>
    <w:rsid w:val="005029AB"/>
    <w:rsid w:val="00503816"/>
    <w:rsid w:val="005076FF"/>
    <w:rsid w:val="0051464D"/>
    <w:rsid w:val="005162A9"/>
    <w:rsid w:val="00516882"/>
    <w:rsid w:val="00517D85"/>
    <w:rsid w:val="00520A67"/>
    <w:rsid w:val="00521C35"/>
    <w:rsid w:val="0052769D"/>
    <w:rsid w:val="00527833"/>
    <w:rsid w:val="00531E18"/>
    <w:rsid w:val="00535987"/>
    <w:rsid w:val="005374B1"/>
    <w:rsid w:val="00543032"/>
    <w:rsid w:val="00543914"/>
    <w:rsid w:val="00544A50"/>
    <w:rsid w:val="0054581D"/>
    <w:rsid w:val="00545F29"/>
    <w:rsid w:val="00546F64"/>
    <w:rsid w:val="0054708D"/>
    <w:rsid w:val="00547290"/>
    <w:rsid w:val="00547C20"/>
    <w:rsid w:val="00547FD8"/>
    <w:rsid w:val="0055034E"/>
    <w:rsid w:val="00550603"/>
    <w:rsid w:val="005514D7"/>
    <w:rsid w:val="0055242C"/>
    <w:rsid w:val="0055694D"/>
    <w:rsid w:val="005575F6"/>
    <w:rsid w:val="00560F26"/>
    <w:rsid w:val="005660EF"/>
    <w:rsid w:val="0056666A"/>
    <w:rsid w:val="00566673"/>
    <w:rsid w:val="0056729D"/>
    <w:rsid w:val="00573441"/>
    <w:rsid w:val="00573A18"/>
    <w:rsid w:val="00573E31"/>
    <w:rsid w:val="00573FE3"/>
    <w:rsid w:val="00574C16"/>
    <w:rsid w:val="005750BC"/>
    <w:rsid w:val="005757D4"/>
    <w:rsid w:val="005761F2"/>
    <w:rsid w:val="00576D92"/>
    <w:rsid w:val="0058001A"/>
    <w:rsid w:val="00580D1E"/>
    <w:rsid w:val="0058205F"/>
    <w:rsid w:val="005825EC"/>
    <w:rsid w:val="00584969"/>
    <w:rsid w:val="00585BA5"/>
    <w:rsid w:val="00586F1E"/>
    <w:rsid w:val="005871F8"/>
    <w:rsid w:val="00587C65"/>
    <w:rsid w:val="00591734"/>
    <w:rsid w:val="00591CD2"/>
    <w:rsid w:val="0059326E"/>
    <w:rsid w:val="005935EE"/>
    <w:rsid w:val="00595214"/>
    <w:rsid w:val="00595BD3"/>
    <w:rsid w:val="00597697"/>
    <w:rsid w:val="00597BF0"/>
    <w:rsid w:val="005A4571"/>
    <w:rsid w:val="005A4799"/>
    <w:rsid w:val="005A6CF5"/>
    <w:rsid w:val="005A6F69"/>
    <w:rsid w:val="005B0592"/>
    <w:rsid w:val="005B3DFD"/>
    <w:rsid w:val="005B5BBB"/>
    <w:rsid w:val="005B661F"/>
    <w:rsid w:val="005B7051"/>
    <w:rsid w:val="005B76D9"/>
    <w:rsid w:val="005C1A65"/>
    <w:rsid w:val="005C24A0"/>
    <w:rsid w:val="005C285A"/>
    <w:rsid w:val="005C3913"/>
    <w:rsid w:val="005C40BA"/>
    <w:rsid w:val="005C4840"/>
    <w:rsid w:val="005C6479"/>
    <w:rsid w:val="005D0028"/>
    <w:rsid w:val="005D215C"/>
    <w:rsid w:val="005D2DFB"/>
    <w:rsid w:val="005D36CA"/>
    <w:rsid w:val="005D3755"/>
    <w:rsid w:val="005D5FD9"/>
    <w:rsid w:val="005D6051"/>
    <w:rsid w:val="005D6374"/>
    <w:rsid w:val="005E0CAB"/>
    <w:rsid w:val="005E4BF7"/>
    <w:rsid w:val="005F00D3"/>
    <w:rsid w:val="005F0E9B"/>
    <w:rsid w:val="005F3FB8"/>
    <w:rsid w:val="005F4F0E"/>
    <w:rsid w:val="005F78DA"/>
    <w:rsid w:val="005F7C17"/>
    <w:rsid w:val="00601CB3"/>
    <w:rsid w:val="00602500"/>
    <w:rsid w:val="006033EE"/>
    <w:rsid w:val="00605513"/>
    <w:rsid w:val="00605F9B"/>
    <w:rsid w:val="00607E3C"/>
    <w:rsid w:val="006125B1"/>
    <w:rsid w:val="006137A9"/>
    <w:rsid w:val="0061412F"/>
    <w:rsid w:val="006146AC"/>
    <w:rsid w:val="00615C5F"/>
    <w:rsid w:val="00615D2C"/>
    <w:rsid w:val="00616AFB"/>
    <w:rsid w:val="00616B72"/>
    <w:rsid w:val="00620EA5"/>
    <w:rsid w:val="006234C9"/>
    <w:rsid w:val="00623B26"/>
    <w:rsid w:val="00624C8B"/>
    <w:rsid w:val="00627670"/>
    <w:rsid w:val="00630573"/>
    <w:rsid w:val="006310F5"/>
    <w:rsid w:val="0063155E"/>
    <w:rsid w:val="006332D2"/>
    <w:rsid w:val="006354E5"/>
    <w:rsid w:val="00635E7D"/>
    <w:rsid w:val="00640431"/>
    <w:rsid w:val="006411E4"/>
    <w:rsid w:val="00641763"/>
    <w:rsid w:val="00641BB9"/>
    <w:rsid w:val="00643CA1"/>
    <w:rsid w:val="0064402F"/>
    <w:rsid w:val="006444EF"/>
    <w:rsid w:val="00650121"/>
    <w:rsid w:val="00650ED9"/>
    <w:rsid w:val="00651AF0"/>
    <w:rsid w:val="00651D2A"/>
    <w:rsid w:val="0065441B"/>
    <w:rsid w:val="00656E22"/>
    <w:rsid w:val="006627A1"/>
    <w:rsid w:val="00664A5E"/>
    <w:rsid w:val="006674EB"/>
    <w:rsid w:val="006676B6"/>
    <w:rsid w:val="006677A2"/>
    <w:rsid w:val="006710DD"/>
    <w:rsid w:val="00672076"/>
    <w:rsid w:val="00673E40"/>
    <w:rsid w:val="00676ABE"/>
    <w:rsid w:val="0068050A"/>
    <w:rsid w:val="006816EF"/>
    <w:rsid w:val="0068294E"/>
    <w:rsid w:val="00682F09"/>
    <w:rsid w:val="006830D8"/>
    <w:rsid w:val="00684B8F"/>
    <w:rsid w:val="0068597A"/>
    <w:rsid w:val="00686FF3"/>
    <w:rsid w:val="00687765"/>
    <w:rsid w:val="0069097C"/>
    <w:rsid w:val="006916F2"/>
    <w:rsid w:val="0069704E"/>
    <w:rsid w:val="0069741E"/>
    <w:rsid w:val="00697435"/>
    <w:rsid w:val="006A00FD"/>
    <w:rsid w:val="006A10CB"/>
    <w:rsid w:val="006A420C"/>
    <w:rsid w:val="006A4EAA"/>
    <w:rsid w:val="006A6081"/>
    <w:rsid w:val="006B062B"/>
    <w:rsid w:val="006B19B4"/>
    <w:rsid w:val="006B3230"/>
    <w:rsid w:val="006B3298"/>
    <w:rsid w:val="006C12EE"/>
    <w:rsid w:val="006C4AD4"/>
    <w:rsid w:val="006D1013"/>
    <w:rsid w:val="006D1401"/>
    <w:rsid w:val="006D238D"/>
    <w:rsid w:val="006D472B"/>
    <w:rsid w:val="006D5410"/>
    <w:rsid w:val="006D6845"/>
    <w:rsid w:val="006E39B4"/>
    <w:rsid w:val="006E6001"/>
    <w:rsid w:val="006F0232"/>
    <w:rsid w:val="006F69B9"/>
    <w:rsid w:val="007024B9"/>
    <w:rsid w:val="0070396C"/>
    <w:rsid w:val="0070425F"/>
    <w:rsid w:val="00704494"/>
    <w:rsid w:val="007064C4"/>
    <w:rsid w:val="00706CB0"/>
    <w:rsid w:val="007106E6"/>
    <w:rsid w:val="00712B3E"/>
    <w:rsid w:val="00714ACF"/>
    <w:rsid w:val="00714FED"/>
    <w:rsid w:val="0072025A"/>
    <w:rsid w:val="00720453"/>
    <w:rsid w:val="00720D4E"/>
    <w:rsid w:val="00725507"/>
    <w:rsid w:val="00726225"/>
    <w:rsid w:val="007268F4"/>
    <w:rsid w:val="007279B4"/>
    <w:rsid w:val="00730559"/>
    <w:rsid w:val="00736664"/>
    <w:rsid w:val="00737AB6"/>
    <w:rsid w:val="00744B0A"/>
    <w:rsid w:val="00745FD3"/>
    <w:rsid w:val="007518D0"/>
    <w:rsid w:val="00751A55"/>
    <w:rsid w:val="00751D66"/>
    <w:rsid w:val="00751F3D"/>
    <w:rsid w:val="007541BC"/>
    <w:rsid w:val="00754592"/>
    <w:rsid w:val="00754B1A"/>
    <w:rsid w:val="00755735"/>
    <w:rsid w:val="007574FF"/>
    <w:rsid w:val="00760BE9"/>
    <w:rsid w:val="00762D41"/>
    <w:rsid w:val="00762F57"/>
    <w:rsid w:val="0076362B"/>
    <w:rsid w:val="00763E8D"/>
    <w:rsid w:val="00766171"/>
    <w:rsid w:val="0076624C"/>
    <w:rsid w:val="007721EA"/>
    <w:rsid w:val="007724E1"/>
    <w:rsid w:val="007744A3"/>
    <w:rsid w:val="00775CBD"/>
    <w:rsid w:val="007761CA"/>
    <w:rsid w:val="007777E9"/>
    <w:rsid w:val="00777CB3"/>
    <w:rsid w:val="007802F8"/>
    <w:rsid w:val="0078035C"/>
    <w:rsid w:val="007806A9"/>
    <w:rsid w:val="007841C1"/>
    <w:rsid w:val="00787081"/>
    <w:rsid w:val="0078786E"/>
    <w:rsid w:val="0079112D"/>
    <w:rsid w:val="007913E9"/>
    <w:rsid w:val="007917F0"/>
    <w:rsid w:val="007918DC"/>
    <w:rsid w:val="00791B66"/>
    <w:rsid w:val="00792273"/>
    <w:rsid w:val="007951C8"/>
    <w:rsid w:val="00796766"/>
    <w:rsid w:val="00797277"/>
    <w:rsid w:val="007974F5"/>
    <w:rsid w:val="0079782F"/>
    <w:rsid w:val="007A0290"/>
    <w:rsid w:val="007A02F8"/>
    <w:rsid w:val="007A2B83"/>
    <w:rsid w:val="007A2E00"/>
    <w:rsid w:val="007A389C"/>
    <w:rsid w:val="007A4140"/>
    <w:rsid w:val="007A4A90"/>
    <w:rsid w:val="007A7774"/>
    <w:rsid w:val="007B26C1"/>
    <w:rsid w:val="007B3AA9"/>
    <w:rsid w:val="007B3FD1"/>
    <w:rsid w:val="007B5816"/>
    <w:rsid w:val="007B69E3"/>
    <w:rsid w:val="007B7BEE"/>
    <w:rsid w:val="007C0176"/>
    <w:rsid w:val="007C27D6"/>
    <w:rsid w:val="007C439F"/>
    <w:rsid w:val="007C487A"/>
    <w:rsid w:val="007C6647"/>
    <w:rsid w:val="007D0CD5"/>
    <w:rsid w:val="007D18E5"/>
    <w:rsid w:val="007D2C40"/>
    <w:rsid w:val="007D41AF"/>
    <w:rsid w:val="007D457C"/>
    <w:rsid w:val="007D4BB0"/>
    <w:rsid w:val="007D52DA"/>
    <w:rsid w:val="007D59A3"/>
    <w:rsid w:val="007E1C02"/>
    <w:rsid w:val="007E2DB7"/>
    <w:rsid w:val="007E7D0F"/>
    <w:rsid w:val="007F01F0"/>
    <w:rsid w:val="007F371B"/>
    <w:rsid w:val="007F40F5"/>
    <w:rsid w:val="007F5660"/>
    <w:rsid w:val="00800453"/>
    <w:rsid w:val="00801CF5"/>
    <w:rsid w:val="00802906"/>
    <w:rsid w:val="0080303C"/>
    <w:rsid w:val="00806384"/>
    <w:rsid w:val="00807D55"/>
    <w:rsid w:val="00812042"/>
    <w:rsid w:val="00814E11"/>
    <w:rsid w:val="00816848"/>
    <w:rsid w:val="00817581"/>
    <w:rsid w:val="0082160E"/>
    <w:rsid w:val="00824D43"/>
    <w:rsid w:val="00824F18"/>
    <w:rsid w:val="00825951"/>
    <w:rsid w:val="008260D8"/>
    <w:rsid w:val="00826B2E"/>
    <w:rsid w:val="00826F44"/>
    <w:rsid w:val="00831C31"/>
    <w:rsid w:val="00831F89"/>
    <w:rsid w:val="00832D59"/>
    <w:rsid w:val="00833F37"/>
    <w:rsid w:val="00834827"/>
    <w:rsid w:val="0083729A"/>
    <w:rsid w:val="008373BB"/>
    <w:rsid w:val="008402DC"/>
    <w:rsid w:val="00843459"/>
    <w:rsid w:val="00843AED"/>
    <w:rsid w:val="00844DC7"/>
    <w:rsid w:val="008450D5"/>
    <w:rsid w:val="00846C8E"/>
    <w:rsid w:val="00847D47"/>
    <w:rsid w:val="00851EBA"/>
    <w:rsid w:val="00854525"/>
    <w:rsid w:val="00854F7A"/>
    <w:rsid w:val="00857A1E"/>
    <w:rsid w:val="008601DE"/>
    <w:rsid w:val="0086363F"/>
    <w:rsid w:val="00863ABA"/>
    <w:rsid w:val="008641B9"/>
    <w:rsid w:val="0086459B"/>
    <w:rsid w:val="008652ED"/>
    <w:rsid w:val="008656F7"/>
    <w:rsid w:val="00872466"/>
    <w:rsid w:val="00873997"/>
    <w:rsid w:val="008751C7"/>
    <w:rsid w:val="0087675B"/>
    <w:rsid w:val="00877482"/>
    <w:rsid w:val="0088068F"/>
    <w:rsid w:val="008812FC"/>
    <w:rsid w:val="00882312"/>
    <w:rsid w:val="00883ABD"/>
    <w:rsid w:val="00884B20"/>
    <w:rsid w:val="00885B45"/>
    <w:rsid w:val="00890AB3"/>
    <w:rsid w:val="00892E26"/>
    <w:rsid w:val="00895BDD"/>
    <w:rsid w:val="008A00CA"/>
    <w:rsid w:val="008A1582"/>
    <w:rsid w:val="008A311F"/>
    <w:rsid w:val="008A3455"/>
    <w:rsid w:val="008A46D7"/>
    <w:rsid w:val="008A5F10"/>
    <w:rsid w:val="008A6DA7"/>
    <w:rsid w:val="008B1604"/>
    <w:rsid w:val="008B402B"/>
    <w:rsid w:val="008B4A15"/>
    <w:rsid w:val="008B589B"/>
    <w:rsid w:val="008B58F3"/>
    <w:rsid w:val="008B5997"/>
    <w:rsid w:val="008B7FB6"/>
    <w:rsid w:val="008C10E0"/>
    <w:rsid w:val="008C2F8E"/>
    <w:rsid w:val="008C4355"/>
    <w:rsid w:val="008C4F4E"/>
    <w:rsid w:val="008C548C"/>
    <w:rsid w:val="008C54CF"/>
    <w:rsid w:val="008C5789"/>
    <w:rsid w:val="008C6D99"/>
    <w:rsid w:val="008D095F"/>
    <w:rsid w:val="008D179C"/>
    <w:rsid w:val="008D28EC"/>
    <w:rsid w:val="008D3C8E"/>
    <w:rsid w:val="008D6475"/>
    <w:rsid w:val="008D664E"/>
    <w:rsid w:val="008D6CDD"/>
    <w:rsid w:val="008D7CBE"/>
    <w:rsid w:val="008E375F"/>
    <w:rsid w:val="008E3F88"/>
    <w:rsid w:val="008E5543"/>
    <w:rsid w:val="008E7776"/>
    <w:rsid w:val="008F0CC3"/>
    <w:rsid w:val="008F0CE3"/>
    <w:rsid w:val="008F3ADC"/>
    <w:rsid w:val="008F3D0D"/>
    <w:rsid w:val="008F44CE"/>
    <w:rsid w:val="008F4FF8"/>
    <w:rsid w:val="008F5451"/>
    <w:rsid w:val="008F5F4F"/>
    <w:rsid w:val="008F766E"/>
    <w:rsid w:val="0090167B"/>
    <w:rsid w:val="00903BA0"/>
    <w:rsid w:val="00905C77"/>
    <w:rsid w:val="009131AD"/>
    <w:rsid w:val="00913C20"/>
    <w:rsid w:val="009151E0"/>
    <w:rsid w:val="00916E24"/>
    <w:rsid w:val="00917B9D"/>
    <w:rsid w:val="0092066F"/>
    <w:rsid w:val="00920A15"/>
    <w:rsid w:val="009213C2"/>
    <w:rsid w:val="00923453"/>
    <w:rsid w:val="00924E72"/>
    <w:rsid w:val="009254D7"/>
    <w:rsid w:val="00925BDC"/>
    <w:rsid w:val="00930C6B"/>
    <w:rsid w:val="00934938"/>
    <w:rsid w:val="00940A39"/>
    <w:rsid w:val="0094118C"/>
    <w:rsid w:val="0094153B"/>
    <w:rsid w:val="009425DE"/>
    <w:rsid w:val="0094271C"/>
    <w:rsid w:val="009444A8"/>
    <w:rsid w:val="009456BB"/>
    <w:rsid w:val="00947836"/>
    <w:rsid w:val="00953973"/>
    <w:rsid w:val="00961622"/>
    <w:rsid w:val="009623ED"/>
    <w:rsid w:val="009637EC"/>
    <w:rsid w:val="009656A9"/>
    <w:rsid w:val="009656AD"/>
    <w:rsid w:val="009672C6"/>
    <w:rsid w:val="009672F9"/>
    <w:rsid w:val="00967933"/>
    <w:rsid w:val="00970154"/>
    <w:rsid w:val="009706AD"/>
    <w:rsid w:val="00970833"/>
    <w:rsid w:val="00970F4A"/>
    <w:rsid w:val="009752B8"/>
    <w:rsid w:val="0097551B"/>
    <w:rsid w:val="00977F2C"/>
    <w:rsid w:val="00980363"/>
    <w:rsid w:val="00980576"/>
    <w:rsid w:val="009806B0"/>
    <w:rsid w:val="00981780"/>
    <w:rsid w:val="00981AD3"/>
    <w:rsid w:val="00992FB3"/>
    <w:rsid w:val="009932F0"/>
    <w:rsid w:val="00993F83"/>
    <w:rsid w:val="0099664F"/>
    <w:rsid w:val="00997AEF"/>
    <w:rsid w:val="009A0E74"/>
    <w:rsid w:val="009A0F82"/>
    <w:rsid w:val="009A3D9E"/>
    <w:rsid w:val="009A40FE"/>
    <w:rsid w:val="009B3F58"/>
    <w:rsid w:val="009B4B69"/>
    <w:rsid w:val="009B555D"/>
    <w:rsid w:val="009B5B27"/>
    <w:rsid w:val="009B5E50"/>
    <w:rsid w:val="009B6100"/>
    <w:rsid w:val="009B6BED"/>
    <w:rsid w:val="009B7428"/>
    <w:rsid w:val="009B7616"/>
    <w:rsid w:val="009B7772"/>
    <w:rsid w:val="009C1425"/>
    <w:rsid w:val="009C162B"/>
    <w:rsid w:val="009C19ED"/>
    <w:rsid w:val="009C3099"/>
    <w:rsid w:val="009C4AD4"/>
    <w:rsid w:val="009C6A37"/>
    <w:rsid w:val="009C6BC3"/>
    <w:rsid w:val="009C72E2"/>
    <w:rsid w:val="009C7A95"/>
    <w:rsid w:val="009D04CA"/>
    <w:rsid w:val="009E1DBC"/>
    <w:rsid w:val="009E3065"/>
    <w:rsid w:val="009E56C8"/>
    <w:rsid w:val="009E62A4"/>
    <w:rsid w:val="009F113F"/>
    <w:rsid w:val="009F121A"/>
    <w:rsid w:val="009F13CE"/>
    <w:rsid w:val="009F4080"/>
    <w:rsid w:val="009F684B"/>
    <w:rsid w:val="009F75DA"/>
    <w:rsid w:val="00A0194D"/>
    <w:rsid w:val="00A03A64"/>
    <w:rsid w:val="00A04845"/>
    <w:rsid w:val="00A04965"/>
    <w:rsid w:val="00A07662"/>
    <w:rsid w:val="00A153AD"/>
    <w:rsid w:val="00A215F8"/>
    <w:rsid w:val="00A2388E"/>
    <w:rsid w:val="00A2486B"/>
    <w:rsid w:val="00A252CB"/>
    <w:rsid w:val="00A31982"/>
    <w:rsid w:val="00A35380"/>
    <w:rsid w:val="00A3732A"/>
    <w:rsid w:val="00A37F1E"/>
    <w:rsid w:val="00A403F7"/>
    <w:rsid w:val="00A410FD"/>
    <w:rsid w:val="00A41C32"/>
    <w:rsid w:val="00A424DC"/>
    <w:rsid w:val="00A4570B"/>
    <w:rsid w:val="00A46512"/>
    <w:rsid w:val="00A46B0A"/>
    <w:rsid w:val="00A4735D"/>
    <w:rsid w:val="00A500D7"/>
    <w:rsid w:val="00A511A6"/>
    <w:rsid w:val="00A515A7"/>
    <w:rsid w:val="00A53706"/>
    <w:rsid w:val="00A53A1F"/>
    <w:rsid w:val="00A53E4F"/>
    <w:rsid w:val="00A549AD"/>
    <w:rsid w:val="00A54C1E"/>
    <w:rsid w:val="00A561B0"/>
    <w:rsid w:val="00A57FFE"/>
    <w:rsid w:val="00A61658"/>
    <w:rsid w:val="00A61D26"/>
    <w:rsid w:val="00A63D98"/>
    <w:rsid w:val="00A66389"/>
    <w:rsid w:val="00A66940"/>
    <w:rsid w:val="00A71153"/>
    <w:rsid w:val="00A7395B"/>
    <w:rsid w:val="00A7433E"/>
    <w:rsid w:val="00A74407"/>
    <w:rsid w:val="00A748E1"/>
    <w:rsid w:val="00A763B4"/>
    <w:rsid w:val="00A81249"/>
    <w:rsid w:val="00A81622"/>
    <w:rsid w:val="00A82DA9"/>
    <w:rsid w:val="00A83D60"/>
    <w:rsid w:val="00A85F5E"/>
    <w:rsid w:val="00A865F0"/>
    <w:rsid w:val="00A87A45"/>
    <w:rsid w:val="00A925BA"/>
    <w:rsid w:val="00A94AA5"/>
    <w:rsid w:val="00A95FC9"/>
    <w:rsid w:val="00A97437"/>
    <w:rsid w:val="00A97534"/>
    <w:rsid w:val="00A976E8"/>
    <w:rsid w:val="00AA0D2A"/>
    <w:rsid w:val="00AA1626"/>
    <w:rsid w:val="00AA16D5"/>
    <w:rsid w:val="00AA1DA1"/>
    <w:rsid w:val="00AA6072"/>
    <w:rsid w:val="00AA6A1A"/>
    <w:rsid w:val="00AB09D4"/>
    <w:rsid w:val="00AB3758"/>
    <w:rsid w:val="00AB4A50"/>
    <w:rsid w:val="00AB6F27"/>
    <w:rsid w:val="00AC0EB7"/>
    <w:rsid w:val="00AC115C"/>
    <w:rsid w:val="00AC1892"/>
    <w:rsid w:val="00AC1FFE"/>
    <w:rsid w:val="00AC2850"/>
    <w:rsid w:val="00AC43D2"/>
    <w:rsid w:val="00AC6FA3"/>
    <w:rsid w:val="00AC7FE4"/>
    <w:rsid w:val="00AD2511"/>
    <w:rsid w:val="00AD34DF"/>
    <w:rsid w:val="00AE090D"/>
    <w:rsid w:val="00AE1105"/>
    <w:rsid w:val="00AE1277"/>
    <w:rsid w:val="00AE6698"/>
    <w:rsid w:val="00AE727C"/>
    <w:rsid w:val="00AF111C"/>
    <w:rsid w:val="00AF1FEC"/>
    <w:rsid w:val="00AF4BF5"/>
    <w:rsid w:val="00AF4D54"/>
    <w:rsid w:val="00AF5F77"/>
    <w:rsid w:val="00AF6965"/>
    <w:rsid w:val="00B0020B"/>
    <w:rsid w:val="00B01067"/>
    <w:rsid w:val="00B02BA7"/>
    <w:rsid w:val="00B030A8"/>
    <w:rsid w:val="00B0539A"/>
    <w:rsid w:val="00B07003"/>
    <w:rsid w:val="00B07D31"/>
    <w:rsid w:val="00B13678"/>
    <w:rsid w:val="00B14A8A"/>
    <w:rsid w:val="00B15132"/>
    <w:rsid w:val="00B16D52"/>
    <w:rsid w:val="00B263C3"/>
    <w:rsid w:val="00B27B1D"/>
    <w:rsid w:val="00B27F97"/>
    <w:rsid w:val="00B305D0"/>
    <w:rsid w:val="00B30671"/>
    <w:rsid w:val="00B30E36"/>
    <w:rsid w:val="00B322EC"/>
    <w:rsid w:val="00B33260"/>
    <w:rsid w:val="00B35078"/>
    <w:rsid w:val="00B35AC5"/>
    <w:rsid w:val="00B36BFE"/>
    <w:rsid w:val="00B42C8A"/>
    <w:rsid w:val="00B4320A"/>
    <w:rsid w:val="00B43A4B"/>
    <w:rsid w:val="00B4469A"/>
    <w:rsid w:val="00B455EF"/>
    <w:rsid w:val="00B518D6"/>
    <w:rsid w:val="00B52439"/>
    <w:rsid w:val="00B53491"/>
    <w:rsid w:val="00B541E9"/>
    <w:rsid w:val="00B547E9"/>
    <w:rsid w:val="00B5538F"/>
    <w:rsid w:val="00B55D96"/>
    <w:rsid w:val="00B56235"/>
    <w:rsid w:val="00B56C50"/>
    <w:rsid w:val="00B60286"/>
    <w:rsid w:val="00B61A41"/>
    <w:rsid w:val="00B62E01"/>
    <w:rsid w:val="00B62F7A"/>
    <w:rsid w:val="00B66127"/>
    <w:rsid w:val="00B67587"/>
    <w:rsid w:val="00B705CE"/>
    <w:rsid w:val="00B71FB2"/>
    <w:rsid w:val="00B77DAB"/>
    <w:rsid w:val="00B80052"/>
    <w:rsid w:val="00B83B3B"/>
    <w:rsid w:val="00B85B32"/>
    <w:rsid w:val="00B862B7"/>
    <w:rsid w:val="00B87A43"/>
    <w:rsid w:val="00B91982"/>
    <w:rsid w:val="00B92E50"/>
    <w:rsid w:val="00B967D8"/>
    <w:rsid w:val="00B96933"/>
    <w:rsid w:val="00B97901"/>
    <w:rsid w:val="00BA0621"/>
    <w:rsid w:val="00BA0D42"/>
    <w:rsid w:val="00BA51F8"/>
    <w:rsid w:val="00BA538F"/>
    <w:rsid w:val="00BA5628"/>
    <w:rsid w:val="00BA57FB"/>
    <w:rsid w:val="00BA652C"/>
    <w:rsid w:val="00BB0292"/>
    <w:rsid w:val="00BB4267"/>
    <w:rsid w:val="00BB4B92"/>
    <w:rsid w:val="00BB6EA3"/>
    <w:rsid w:val="00BC0B50"/>
    <w:rsid w:val="00BC1864"/>
    <w:rsid w:val="00BC1A1F"/>
    <w:rsid w:val="00BC2E23"/>
    <w:rsid w:val="00BC3BCF"/>
    <w:rsid w:val="00BC65E9"/>
    <w:rsid w:val="00BD033B"/>
    <w:rsid w:val="00BD06C2"/>
    <w:rsid w:val="00BD33E7"/>
    <w:rsid w:val="00BD3A70"/>
    <w:rsid w:val="00BD526A"/>
    <w:rsid w:val="00BD53FA"/>
    <w:rsid w:val="00BD6B2E"/>
    <w:rsid w:val="00BD6D11"/>
    <w:rsid w:val="00BE06A0"/>
    <w:rsid w:val="00BE26A5"/>
    <w:rsid w:val="00BE32DA"/>
    <w:rsid w:val="00BE6AD4"/>
    <w:rsid w:val="00BF4C59"/>
    <w:rsid w:val="00BF4ED1"/>
    <w:rsid w:val="00BF7ADC"/>
    <w:rsid w:val="00C00037"/>
    <w:rsid w:val="00C13631"/>
    <w:rsid w:val="00C14244"/>
    <w:rsid w:val="00C15413"/>
    <w:rsid w:val="00C16DB5"/>
    <w:rsid w:val="00C20DD3"/>
    <w:rsid w:val="00C256B2"/>
    <w:rsid w:val="00C2624E"/>
    <w:rsid w:val="00C274A6"/>
    <w:rsid w:val="00C301CE"/>
    <w:rsid w:val="00C30408"/>
    <w:rsid w:val="00C37DBD"/>
    <w:rsid w:val="00C40EEC"/>
    <w:rsid w:val="00C4364E"/>
    <w:rsid w:val="00C43A60"/>
    <w:rsid w:val="00C43D3D"/>
    <w:rsid w:val="00C46043"/>
    <w:rsid w:val="00C46217"/>
    <w:rsid w:val="00C534B3"/>
    <w:rsid w:val="00C538B0"/>
    <w:rsid w:val="00C53DD3"/>
    <w:rsid w:val="00C55690"/>
    <w:rsid w:val="00C610D8"/>
    <w:rsid w:val="00C61581"/>
    <w:rsid w:val="00C61AF7"/>
    <w:rsid w:val="00C63D0C"/>
    <w:rsid w:val="00C64ABA"/>
    <w:rsid w:val="00C65658"/>
    <w:rsid w:val="00C66067"/>
    <w:rsid w:val="00C665CF"/>
    <w:rsid w:val="00C70A1F"/>
    <w:rsid w:val="00C70DEE"/>
    <w:rsid w:val="00C7275E"/>
    <w:rsid w:val="00C72D37"/>
    <w:rsid w:val="00C7501B"/>
    <w:rsid w:val="00C76797"/>
    <w:rsid w:val="00C775B4"/>
    <w:rsid w:val="00C77E33"/>
    <w:rsid w:val="00C840BD"/>
    <w:rsid w:val="00C85276"/>
    <w:rsid w:val="00C8660D"/>
    <w:rsid w:val="00C8792A"/>
    <w:rsid w:val="00C93E6D"/>
    <w:rsid w:val="00C974FC"/>
    <w:rsid w:val="00CA05BC"/>
    <w:rsid w:val="00CA09C5"/>
    <w:rsid w:val="00CA0D72"/>
    <w:rsid w:val="00CA0DBE"/>
    <w:rsid w:val="00CA0DCD"/>
    <w:rsid w:val="00CA15D1"/>
    <w:rsid w:val="00CA2906"/>
    <w:rsid w:val="00CA453D"/>
    <w:rsid w:val="00CB0791"/>
    <w:rsid w:val="00CB159B"/>
    <w:rsid w:val="00CB33ED"/>
    <w:rsid w:val="00CB445A"/>
    <w:rsid w:val="00CB498A"/>
    <w:rsid w:val="00CB7554"/>
    <w:rsid w:val="00CB7E26"/>
    <w:rsid w:val="00CC0EF5"/>
    <w:rsid w:val="00CC369D"/>
    <w:rsid w:val="00CC4EDF"/>
    <w:rsid w:val="00CC7C53"/>
    <w:rsid w:val="00CD27BD"/>
    <w:rsid w:val="00CD374A"/>
    <w:rsid w:val="00CD3AFC"/>
    <w:rsid w:val="00CD55C4"/>
    <w:rsid w:val="00CD571F"/>
    <w:rsid w:val="00CD69BE"/>
    <w:rsid w:val="00CE07D1"/>
    <w:rsid w:val="00CE1F00"/>
    <w:rsid w:val="00CE21D9"/>
    <w:rsid w:val="00CE24E0"/>
    <w:rsid w:val="00CE2503"/>
    <w:rsid w:val="00CE2A47"/>
    <w:rsid w:val="00CE4367"/>
    <w:rsid w:val="00CE4499"/>
    <w:rsid w:val="00CE4A08"/>
    <w:rsid w:val="00CE75D2"/>
    <w:rsid w:val="00CE7A9D"/>
    <w:rsid w:val="00CF0D68"/>
    <w:rsid w:val="00CF4DCF"/>
    <w:rsid w:val="00CF4F1B"/>
    <w:rsid w:val="00CF6782"/>
    <w:rsid w:val="00D0245F"/>
    <w:rsid w:val="00D02CF9"/>
    <w:rsid w:val="00D03649"/>
    <w:rsid w:val="00D06A23"/>
    <w:rsid w:val="00D11C19"/>
    <w:rsid w:val="00D12FAC"/>
    <w:rsid w:val="00D1323C"/>
    <w:rsid w:val="00D144D4"/>
    <w:rsid w:val="00D153E9"/>
    <w:rsid w:val="00D16425"/>
    <w:rsid w:val="00D2268D"/>
    <w:rsid w:val="00D244AC"/>
    <w:rsid w:val="00D245FF"/>
    <w:rsid w:val="00D24DAF"/>
    <w:rsid w:val="00D25D2E"/>
    <w:rsid w:val="00D266B4"/>
    <w:rsid w:val="00D30045"/>
    <w:rsid w:val="00D320F3"/>
    <w:rsid w:val="00D3245F"/>
    <w:rsid w:val="00D33A00"/>
    <w:rsid w:val="00D3528A"/>
    <w:rsid w:val="00D35601"/>
    <w:rsid w:val="00D436B7"/>
    <w:rsid w:val="00D441F2"/>
    <w:rsid w:val="00D44CB4"/>
    <w:rsid w:val="00D464CE"/>
    <w:rsid w:val="00D47E85"/>
    <w:rsid w:val="00D50AE1"/>
    <w:rsid w:val="00D50C42"/>
    <w:rsid w:val="00D5171E"/>
    <w:rsid w:val="00D54ABE"/>
    <w:rsid w:val="00D54CA6"/>
    <w:rsid w:val="00D55F0E"/>
    <w:rsid w:val="00D56B5B"/>
    <w:rsid w:val="00D61A6D"/>
    <w:rsid w:val="00D62FD5"/>
    <w:rsid w:val="00D6403F"/>
    <w:rsid w:val="00D64AE1"/>
    <w:rsid w:val="00D6544D"/>
    <w:rsid w:val="00D65B9E"/>
    <w:rsid w:val="00D66749"/>
    <w:rsid w:val="00D67111"/>
    <w:rsid w:val="00D706BA"/>
    <w:rsid w:val="00D7211F"/>
    <w:rsid w:val="00D72F7C"/>
    <w:rsid w:val="00D75389"/>
    <w:rsid w:val="00D8325A"/>
    <w:rsid w:val="00D83B64"/>
    <w:rsid w:val="00D858B5"/>
    <w:rsid w:val="00D867CF"/>
    <w:rsid w:val="00D87AC8"/>
    <w:rsid w:val="00D90D9B"/>
    <w:rsid w:val="00D920E6"/>
    <w:rsid w:val="00D938DF"/>
    <w:rsid w:val="00D95130"/>
    <w:rsid w:val="00D960CC"/>
    <w:rsid w:val="00D9795E"/>
    <w:rsid w:val="00DA345B"/>
    <w:rsid w:val="00DA72D5"/>
    <w:rsid w:val="00DB0FBD"/>
    <w:rsid w:val="00DB65DC"/>
    <w:rsid w:val="00DB6983"/>
    <w:rsid w:val="00DC0340"/>
    <w:rsid w:val="00DC1920"/>
    <w:rsid w:val="00DC203D"/>
    <w:rsid w:val="00DC2FA9"/>
    <w:rsid w:val="00DC45CE"/>
    <w:rsid w:val="00DC4CF4"/>
    <w:rsid w:val="00DC54F7"/>
    <w:rsid w:val="00DC5995"/>
    <w:rsid w:val="00DC6597"/>
    <w:rsid w:val="00DC70BA"/>
    <w:rsid w:val="00DC715D"/>
    <w:rsid w:val="00DC7C0E"/>
    <w:rsid w:val="00DD2F2E"/>
    <w:rsid w:val="00DD3AED"/>
    <w:rsid w:val="00DD4B59"/>
    <w:rsid w:val="00DD69F9"/>
    <w:rsid w:val="00DD6E82"/>
    <w:rsid w:val="00DD73D3"/>
    <w:rsid w:val="00DE1D3E"/>
    <w:rsid w:val="00DE20A1"/>
    <w:rsid w:val="00DE2490"/>
    <w:rsid w:val="00DE2F81"/>
    <w:rsid w:val="00DE43FD"/>
    <w:rsid w:val="00DE5613"/>
    <w:rsid w:val="00DE5E95"/>
    <w:rsid w:val="00DE5ED6"/>
    <w:rsid w:val="00DE7561"/>
    <w:rsid w:val="00DF0665"/>
    <w:rsid w:val="00DF1532"/>
    <w:rsid w:val="00DF22E9"/>
    <w:rsid w:val="00DF325A"/>
    <w:rsid w:val="00DF3B7E"/>
    <w:rsid w:val="00DF5F50"/>
    <w:rsid w:val="00DF73D4"/>
    <w:rsid w:val="00E00AEF"/>
    <w:rsid w:val="00E04638"/>
    <w:rsid w:val="00E051F0"/>
    <w:rsid w:val="00E05AC4"/>
    <w:rsid w:val="00E07F72"/>
    <w:rsid w:val="00E11012"/>
    <w:rsid w:val="00E11514"/>
    <w:rsid w:val="00E11C89"/>
    <w:rsid w:val="00E1348D"/>
    <w:rsid w:val="00E13FFF"/>
    <w:rsid w:val="00E16D09"/>
    <w:rsid w:val="00E17A0B"/>
    <w:rsid w:val="00E2060A"/>
    <w:rsid w:val="00E21B77"/>
    <w:rsid w:val="00E23765"/>
    <w:rsid w:val="00E25C7E"/>
    <w:rsid w:val="00E2696B"/>
    <w:rsid w:val="00E26B6F"/>
    <w:rsid w:val="00E32477"/>
    <w:rsid w:val="00E33E03"/>
    <w:rsid w:val="00E3603C"/>
    <w:rsid w:val="00E36FAB"/>
    <w:rsid w:val="00E3703B"/>
    <w:rsid w:val="00E37BD5"/>
    <w:rsid w:val="00E37E8D"/>
    <w:rsid w:val="00E41955"/>
    <w:rsid w:val="00E42B83"/>
    <w:rsid w:val="00E42EA9"/>
    <w:rsid w:val="00E43B28"/>
    <w:rsid w:val="00E45E6C"/>
    <w:rsid w:val="00E46F2A"/>
    <w:rsid w:val="00E51011"/>
    <w:rsid w:val="00E5201B"/>
    <w:rsid w:val="00E521B9"/>
    <w:rsid w:val="00E53109"/>
    <w:rsid w:val="00E5480B"/>
    <w:rsid w:val="00E55232"/>
    <w:rsid w:val="00E5544A"/>
    <w:rsid w:val="00E64128"/>
    <w:rsid w:val="00E64C75"/>
    <w:rsid w:val="00E64F4A"/>
    <w:rsid w:val="00E65A4A"/>
    <w:rsid w:val="00E65B12"/>
    <w:rsid w:val="00E66471"/>
    <w:rsid w:val="00E664DA"/>
    <w:rsid w:val="00E71E5F"/>
    <w:rsid w:val="00E72413"/>
    <w:rsid w:val="00E72542"/>
    <w:rsid w:val="00E72A3C"/>
    <w:rsid w:val="00E75398"/>
    <w:rsid w:val="00E75FCB"/>
    <w:rsid w:val="00E763D1"/>
    <w:rsid w:val="00E76CBB"/>
    <w:rsid w:val="00E76D83"/>
    <w:rsid w:val="00E83E80"/>
    <w:rsid w:val="00E86B38"/>
    <w:rsid w:val="00E90A63"/>
    <w:rsid w:val="00E92E2B"/>
    <w:rsid w:val="00E94031"/>
    <w:rsid w:val="00E9429A"/>
    <w:rsid w:val="00E96462"/>
    <w:rsid w:val="00E96CBF"/>
    <w:rsid w:val="00E97EA8"/>
    <w:rsid w:val="00EA2D0B"/>
    <w:rsid w:val="00EA2D38"/>
    <w:rsid w:val="00EA2F15"/>
    <w:rsid w:val="00EA660C"/>
    <w:rsid w:val="00EB5FB8"/>
    <w:rsid w:val="00EB720B"/>
    <w:rsid w:val="00EC0465"/>
    <w:rsid w:val="00EC429F"/>
    <w:rsid w:val="00EC54FB"/>
    <w:rsid w:val="00EC57B4"/>
    <w:rsid w:val="00EC73BB"/>
    <w:rsid w:val="00EC7CBB"/>
    <w:rsid w:val="00ED0613"/>
    <w:rsid w:val="00ED0A8C"/>
    <w:rsid w:val="00ED7777"/>
    <w:rsid w:val="00ED7F82"/>
    <w:rsid w:val="00ED7FC3"/>
    <w:rsid w:val="00EE1C13"/>
    <w:rsid w:val="00EE365F"/>
    <w:rsid w:val="00EE412B"/>
    <w:rsid w:val="00EE41C6"/>
    <w:rsid w:val="00EE4535"/>
    <w:rsid w:val="00EE4D9B"/>
    <w:rsid w:val="00EE7284"/>
    <w:rsid w:val="00EE7DE6"/>
    <w:rsid w:val="00EF07DC"/>
    <w:rsid w:val="00EF0ECB"/>
    <w:rsid w:val="00EF0F14"/>
    <w:rsid w:val="00EF107E"/>
    <w:rsid w:val="00EF153D"/>
    <w:rsid w:val="00EF1672"/>
    <w:rsid w:val="00EF47F7"/>
    <w:rsid w:val="00EF6A06"/>
    <w:rsid w:val="00F000C7"/>
    <w:rsid w:val="00F01268"/>
    <w:rsid w:val="00F024D3"/>
    <w:rsid w:val="00F03FDA"/>
    <w:rsid w:val="00F04679"/>
    <w:rsid w:val="00F04B7C"/>
    <w:rsid w:val="00F05316"/>
    <w:rsid w:val="00F059B6"/>
    <w:rsid w:val="00F060F6"/>
    <w:rsid w:val="00F072E3"/>
    <w:rsid w:val="00F10E77"/>
    <w:rsid w:val="00F10FA6"/>
    <w:rsid w:val="00F136AF"/>
    <w:rsid w:val="00F170E0"/>
    <w:rsid w:val="00F209B7"/>
    <w:rsid w:val="00F211F4"/>
    <w:rsid w:val="00F214FB"/>
    <w:rsid w:val="00F221EC"/>
    <w:rsid w:val="00F23172"/>
    <w:rsid w:val="00F25255"/>
    <w:rsid w:val="00F2560A"/>
    <w:rsid w:val="00F2689A"/>
    <w:rsid w:val="00F308B0"/>
    <w:rsid w:val="00F31728"/>
    <w:rsid w:val="00F330B7"/>
    <w:rsid w:val="00F36119"/>
    <w:rsid w:val="00F37AD6"/>
    <w:rsid w:val="00F37C9C"/>
    <w:rsid w:val="00F41C58"/>
    <w:rsid w:val="00F42753"/>
    <w:rsid w:val="00F43183"/>
    <w:rsid w:val="00F44B63"/>
    <w:rsid w:val="00F45E0D"/>
    <w:rsid w:val="00F4680F"/>
    <w:rsid w:val="00F47B66"/>
    <w:rsid w:val="00F50733"/>
    <w:rsid w:val="00F50D8D"/>
    <w:rsid w:val="00F538C6"/>
    <w:rsid w:val="00F53CC4"/>
    <w:rsid w:val="00F5593D"/>
    <w:rsid w:val="00F55EE4"/>
    <w:rsid w:val="00F622ED"/>
    <w:rsid w:val="00F637F1"/>
    <w:rsid w:val="00F64DF4"/>
    <w:rsid w:val="00F64F29"/>
    <w:rsid w:val="00F671CB"/>
    <w:rsid w:val="00F70329"/>
    <w:rsid w:val="00F70AC8"/>
    <w:rsid w:val="00F71784"/>
    <w:rsid w:val="00F77DF6"/>
    <w:rsid w:val="00F8120F"/>
    <w:rsid w:val="00F83503"/>
    <w:rsid w:val="00F840B7"/>
    <w:rsid w:val="00F846A8"/>
    <w:rsid w:val="00F85163"/>
    <w:rsid w:val="00F859FB"/>
    <w:rsid w:val="00F90153"/>
    <w:rsid w:val="00F90648"/>
    <w:rsid w:val="00F956C3"/>
    <w:rsid w:val="00F95AC8"/>
    <w:rsid w:val="00F967E9"/>
    <w:rsid w:val="00F97BF7"/>
    <w:rsid w:val="00FA1138"/>
    <w:rsid w:val="00FA77F6"/>
    <w:rsid w:val="00FB0C8E"/>
    <w:rsid w:val="00FB3073"/>
    <w:rsid w:val="00FB34B8"/>
    <w:rsid w:val="00FB4B2A"/>
    <w:rsid w:val="00FB4C63"/>
    <w:rsid w:val="00FC01FD"/>
    <w:rsid w:val="00FC1A95"/>
    <w:rsid w:val="00FC1D8C"/>
    <w:rsid w:val="00FC4240"/>
    <w:rsid w:val="00FC741B"/>
    <w:rsid w:val="00FC7453"/>
    <w:rsid w:val="00FD15ED"/>
    <w:rsid w:val="00FD31A9"/>
    <w:rsid w:val="00FD3728"/>
    <w:rsid w:val="00FD4573"/>
    <w:rsid w:val="00FD799E"/>
    <w:rsid w:val="00FE0B03"/>
    <w:rsid w:val="00FE24D4"/>
    <w:rsid w:val="00FE401F"/>
    <w:rsid w:val="00FE430D"/>
    <w:rsid w:val="00FE4B4B"/>
    <w:rsid w:val="00FE50C4"/>
    <w:rsid w:val="00FE650F"/>
    <w:rsid w:val="00FE69C0"/>
    <w:rsid w:val="00FF0677"/>
    <w:rsid w:val="00FF082D"/>
    <w:rsid w:val="00FF0AF5"/>
    <w:rsid w:val="00FF4990"/>
    <w:rsid w:val="00FF4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0B22E"/>
  <w14:defaultImageDpi w14:val="32767"/>
  <w15:chartTrackingRefBased/>
  <w15:docId w15:val="{5BFDD82A-4286-684D-A167-7C14865FC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0245F"/>
  </w:style>
  <w:style w:type="character" w:customStyle="1" w:styleId="FootnoteTextChar">
    <w:name w:val="Footnote Text Char"/>
    <w:basedOn w:val="DefaultParagraphFont"/>
    <w:link w:val="FootnoteText"/>
    <w:uiPriority w:val="99"/>
    <w:rsid w:val="00D0245F"/>
    <w:rPr>
      <w:sz w:val="20"/>
      <w:szCs w:val="20"/>
    </w:rPr>
  </w:style>
  <w:style w:type="character" w:styleId="FootnoteReference">
    <w:name w:val="footnote reference"/>
    <w:basedOn w:val="DefaultParagraphFont"/>
    <w:uiPriority w:val="99"/>
    <w:semiHidden/>
    <w:unhideWhenUsed/>
    <w:rsid w:val="00D0245F"/>
    <w:rPr>
      <w:vertAlign w:val="superscript"/>
    </w:rPr>
  </w:style>
  <w:style w:type="character" w:styleId="Hyperlink">
    <w:name w:val="Hyperlink"/>
    <w:basedOn w:val="DefaultParagraphFont"/>
    <w:uiPriority w:val="99"/>
    <w:unhideWhenUsed/>
    <w:rsid w:val="00B15132"/>
    <w:rPr>
      <w:color w:val="0563C1" w:themeColor="hyperlink"/>
      <w:u w:val="single"/>
    </w:rPr>
  </w:style>
  <w:style w:type="character" w:styleId="UnresolvedMention">
    <w:name w:val="Unresolved Mention"/>
    <w:basedOn w:val="DefaultParagraphFont"/>
    <w:uiPriority w:val="99"/>
    <w:rsid w:val="00B15132"/>
    <w:rPr>
      <w:color w:val="605E5C"/>
      <w:shd w:val="clear" w:color="auto" w:fill="E1DFDD"/>
    </w:rPr>
  </w:style>
  <w:style w:type="character" w:styleId="HTMLCite">
    <w:name w:val="HTML Cite"/>
    <w:basedOn w:val="DefaultParagraphFont"/>
    <w:uiPriority w:val="99"/>
    <w:semiHidden/>
    <w:unhideWhenUsed/>
    <w:rsid w:val="00F840B7"/>
    <w:rPr>
      <w:i/>
      <w:iCs/>
    </w:rPr>
  </w:style>
  <w:style w:type="character" w:styleId="FollowedHyperlink">
    <w:name w:val="FollowedHyperlink"/>
    <w:basedOn w:val="DefaultParagraphFont"/>
    <w:uiPriority w:val="99"/>
    <w:semiHidden/>
    <w:unhideWhenUsed/>
    <w:rsid w:val="00F840B7"/>
    <w:rPr>
      <w:color w:val="954F72" w:themeColor="followedHyperlink"/>
      <w:u w:val="single"/>
    </w:rPr>
  </w:style>
  <w:style w:type="paragraph" w:styleId="ListParagraph">
    <w:name w:val="List Paragraph"/>
    <w:basedOn w:val="Normal"/>
    <w:uiPriority w:val="34"/>
    <w:qFormat/>
    <w:rsid w:val="0054581D"/>
    <w:pPr>
      <w:ind w:left="720"/>
      <w:contextualSpacing/>
    </w:pPr>
  </w:style>
  <w:style w:type="paragraph" w:styleId="Footer">
    <w:name w:val="footer"/>
    <w:basedOn w:val="Normal"/>
    <w:link w:val="FooterChar"/>
    <w:uiPriority w:val="99"/>
    <w:unhideWhenUsed/>
    <w:rsid w:val="007B5816"/>
    <w:pPr>
      <w:tabs>
        <w:tab w:val="center" w:pos="4680"/>
        <w:tab w:val="right" w:pos="9360"/>
      </w:tabs>
    </w:pPr>
  </w:style>
  <w:style w:type="character" w:customStyle="1" w:styleId="FooterChar">
    <w:name w:val="Footer Char"/>
    <w:basedOn w:val="DefaultParagraphFont"/>
    <w:link w:val="Footer"/>
    <w:uiPriority w:val="99"/>
    <w:rsid w:val="007B5816"/>
    <w:rPr>
      <w:sz w:val="20"/>
      <w:szCs w:val="20"/>
    </w:rPr>
  </w:style>
  <w:style w:type="character" w:styleId="PageNumber">
    <w:name w:val="page number"/>
    <w:basedOn w:val="DefaultParagraphFont"/>
    <w:uiPriority w:val="99"/>
    <w:semiHidden/>
    <w:unhideWhenUsed/>
    <w:rsid w:val="007B5816"/>
  </w:style>
  <w:style w:type="paragraph" w:styleId="BalloonText">
    <w:name w:val="Balloon Text"/>
    <w:basedOn w:val="Normal"/>
    <w:link w:val="BalloonTextChar"/>
    <w:uiPriority w:val="99"/>
    <w:semiHidden/>
    <w:unhideWhenUsed/>
    <w:rsid w:val="00B518D6"/>
    <w:rPr>
      <w:sz w:val="18"/>
      <w:szCs w:val="18"/>
    </w:rPr>
  </w:style>
  <w:style w:type="character" w:customStyle="1" w:styleId="BalloonTextChar">
    <w:name w:val="Balloon Text Char"/>
    <w:basedOn w:val="DefaultParagraphFont"/>
    <w:link w:val="BalloonText"/>
    <w:uiPriority w:val="99"/>
    <w:semiHidden/>
    <w:rsid w:val="00B518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129417">
      <w:bodyDiv w:val="1"/>
      <w:marLeft w:val="0"/>
      <w:marRight w:val="0"/>
      <w:marTop w:val="0"/>
      <w:marBottom w:val="0"/>
      <w:divBdr>
        <w:top w:val="none" w:sz="0" w:space="0" w:color="auto"/>
        <w:left w:val="none" w:sz="0" w:space="0" w:color="auto"/>
        <w:bottom w:val="none" w:sz="0" w:space="0" w:color="auto"/>
        <w:right w:val="none" w:sz="0" w:space="0" w:color="auto"/>
      </w:divBdr>
      <w:divsChild>
        <w:div w:id="545608035">
          <w:marLeft w:val="45"/>
          <w:marRight w:val="45"/>
          <w:marTop w:val="15"/>
          <w:marBottom w:val="0"/>
          <w:divBdr>
            <w:top w:val="none" w:sz="0" w:space="0" w:color="auto"/>
            <w:left w:val="none" w:sz="0" w:space="0" w:color="auto"/>
            <w:bottom w:val="none" w:sz="0" w:space="0" w:color="auto"/>
            <w:right w:val="none" w:sz="0" w:space="0" w:color="auto"/>
          </w:divBdr>
          <w:divsChild>
            <w:div w:id="6585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atra.org/2017/02/07/trial-lawyers-willfully-misleading-media-public-much-needed-mpa-reform/" TargetMode="External"/><Relationship Id="rId13" Type="http://schemas.openxmlformats.org/officeDocument/2006/relationships/hyperlink" Target="https://www.nytimes.com/roomfordebate/2016/11/14/should-the-government-bring-back-trust-busting" TargetMode="External"/><Relationship Id="rId18" Type="http://schemas.openxmlformats.org/officeDocument/2006/relationships/hyperlink" Target="https://chicagounbound.uchicago.edu/cgi/viewcontent.cgi?article=2479&amp;context=law_and_economics" TargetMode="External"/><Relationship Id="rId3" Type="http://schemas.openxmlformats.org/officeDocument/2006/relationships/hyperlink" Target="http://www.stlamerican.com/news/columnists/guest_columnists/missouri-consumer-protection-law-is-under-attack/article_07f56fd0-e725-11e6-99a8-ef49a18df41c.html" TargetMode="External"/><Relationship Id="rId21" Type="http://schemas.openxmlformats.org/officeDocument/2006/relationships/hyperlink" Target="https://www.pitch.com/news/blog/20854625/kiss-my-ass-says-missouri-senate-president-called-out-for-carrying-water-for-his-millionaire-donor" TargetMode="External"/><Relationship Id="rId7" Type="http://schemas.openxmlformats.org/officeDocument/2006/relationships/hyperlink" Target="https://papers.ssrn.com/sol3/papers.cfm?abstract_id=1708175" TargetMode="External"/><Relationship Id="rId12" Type="http://schemas.openxmlformats.org/officeDocument/2006/relationships/hyperlink" Target="http://www.judicialhellholes.org/wp-content/uploads/2016/12/JudicialHellholes-2016.pdf" TargetMode="External"/><Relationship Id="rId17" Type="http://schemas.openxmlformats.org/officeDocument/2006/relationships/hyperlink" Target="https://scholarship.law.missouri.edu/cgi/viewcontent.cgi?referer=https://www.google.com/&amp;httpsredir=1&amp;article=1680&amp;context=jdr" TargetMode="External"/><Relationship Id="rId2" Type="http://schemas.openxmlformats.org/officeDocument/2006/relationships/hyperlink" Target="http://www.stltoday.com/business/local/missouri-consumer-law-is-under-attack/article_100a4d4e-1b02-51c3-b294-ddda4f224c9b.html" TargetMode="External"/><Relationship Id="rId16" Type="http://schemas.openxmlformats.org/officeDocument/2006/relationships/hyperlink" Target="https://www.nytimes.com/2015/11/01/business/dealbook/arbitration-everywhere-stacking-the-deck-of-justice.html" TargetMode="External"/><Relationship Id="rId20" Type="http://schemas.openxmlformats.org/officeDocument/2006/relationships/hyperlink" Target="http://www.kansascity.com/news/politics-government/article143921979.html" TargetMode="External"/><Relationship Id="rId1" Type="http://schemas.openxmlformats.org/officeDocument/2006/relationships/hyperlink" Target="http://revisor.mo.gov/main/ViewChapter.aspx?chapter=407" TargetMode="External"/><Relationship Id="rId6" Type="http://schemas.openxmlformats.org/officeDocument/2006/relationships/hyperlink" Target="https://mobizmagazine.com/2015/02/19/mmpa-reform-will-benefit-missouris-court-system/" TargetMode="External"/><Relationship Id="rId11" Type="http://schemas.openxmlformats.org/officeDocument/2006/relationships/hyperlink" Target="https://www.shb.com/~/media/files/news/2014/atranov2014.pdf" TargetMode="External"/><Relationship Id="rId5" Type="http://schemas.openxmlformats.org/officeDocument/2006/relationships/hyperlink" Target="https://www.news-leader.com/story/news/politics/2017/02/19/legislation-block-lawsuits-big-awards-rolls-through-missouri-house-and-senate/97851464/" TargetMode="External"/><Relationship Id="rId15" Type="http://schemas.openxmlformats.org/officeDocument/2006/relationships/hyperlink" Target="http://nakedfoodmagazine.com/13-most-misleading-food-label-claims/" TargetMode="External"/><Relationship Id="rId10" Type="http://schemas.openxmlformats.org/officeDocument/2006/relationships/hyperlink" Target="http://www.kansascity.com/opinion/readers-opinion/guest-commentary/article203928714.html" TargetMode="External"/><Relationship Id="rId19" Type="http://schemas.openxmlformats.org/officeDocument/2006/relationships/hyperlink" Target="https://legiscan.com/MO/text/SB5/2017" TargetMode="External"/><Relationship Id="rId4" Type="http://schemas.openxmlformats.org/officeDocument/2006/relationships/hyperlink" Target="https://www.news-leader.com/story/news/politics/2017/10/07/joplin-businessman-david-humphreys-missouris-rising-republican-mega-donor/737275001/" TargetMode="External"/><Relationship Id="rId9" Type="http://schemas.openxmlformats.org/officeDocument/2006/relationships/hyperlink" Target="http://www.judicialhellholes.org/wp-content/uploads/2017/02/103114_MMPAreport.pdf" TargetMode="External"/><Relationship Id="rId14" Type="http://schemas.openxmlformats.org/officeDocument/2006/relationships/hyperlink" Target="https://www.forbes.com/sites/stevensavage/2016/06/11/the-non-gmo-food-label-is-a-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309D5-7F88-3940-8E62-4211A622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7021</Words>
  <Characters>40021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Taylor</dc:creator>
  <cp:keywords/>
  <dc:description/>
  <cp:lastModifiedBy>Andrew Taylor</cp:lastModifiedBy>
  <cp:revision>4</cp:revision>
  <cp:lastPrinted>2020-03-10T15:25:00Z</cp:lastPrinted>
  <dcterms:created xsi:type="dcterms:W3CDTF">2020-03-10T15:25:00Z</dcterms:created>
  <dcterms:modified xsi:type="dcterms:W3CDTF">2020-03-12T00:50:00Z</dcterms:modified>
</cp:coreProperties>
</file>