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14B3" w:rsidRPr="00381AE0" w:rsidRDefault="006C14B3" w:rsidP="006C14B3">
      <w:pPr>
        <w:jc w:val="center"/>
        <w:rPr>
          <w:b/>
          <w:sz w:val="32"/>
          <w:szCs w:val="32"/>
          <w:u w:val="single"/>
        </w:rPr>
      </w:pPr>
      <w:r w:rsidRPr="00B66127">
        <w:rPr>
          <w:b/>
          <w:sz w:val="32"/>
          <w:szCs w:val="32"/>
          <w:u w:val="single"/>
        </w:rPr>
        <w:t xml:space="preserve">Missouri Senate Bill 591: Overview of Why It Is </w:t>
      </w:r>
      <w:r w:rsidRPr="00A561B0">
        <w:rPr>
          <w:b/>
          <w:i/>
          <w:iCs/>
          <w:sz w:val="32"/>
          <w:szCs w:val="32"/>
          <w:u w:val="single"/>
        </w:rPr>
        <w:t>Bad</w:t>
      </w:r>
      <w:r w:rsidRPr="00B66127">
        <w:rPr>
          <w:b/>
          <w:sz w:val="32"/>
          <w:szCs w:val="32"/>
          <w:u w:val="single"/>
        </w:rPr>
        <w:t xml:space="preserve"> Law</w:t>
      </w:r>
    </w:p>
    <w:p w:rsidR="006C14B3" w:rsidRDefault="006C14B3" w:rsidP="006C14B3">
      <w:pPr>
        <w:rPr>
          <w:b/>
          <w:sz w:val="32"/>
          <w:szCs w:val="32"/>
        </w:rPr>
      </w:pPr>
    </w:p>
    <w:p w:rsidR="006C14B3" w:rsidRDefault="006C14B3" w:rsidP="006C14B3">
      <w:pPr>
        <w:pStyle w:val="ListParagraph"/>
        <w:numPr>
          <w:ilvl w:val="0"/>
          <w:numId w:val="1"/>
        </w:numPr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SB 591, as well as its predecessors in spirit, </w:t>
      </w:r>
      <w:r w:rsidRPr="00381AE0">
        <w:rPr>
          <w:b/>
          <w:sz w:val="24"/>
          <w:szCs w:val="24"/>
          <w:u w:val="single"/>
        </w:rPr>
        <w:t>favors BIG business, not small</w:t>
      </w:r>
      <w:r w:rsidRPr="00381AE0">
        <w:rPr>
          <w:b/>
          <w:sz w:val="24"/>
          <w:szCs w:val="24"/>
        </w:rPr>
        <w:t>.</w:t>
      </w:r>
      <w:r>
        <w:rPr>
          <w:bCs/>
          <w:sz w:val="24"/>
          <w:szCs w:val="24"/>
        </w:rPr>
        <w:t xml:space="preserve"> Small businesses, unless they are genuinely bad actors, have not and will not draw outsized litigation under the Missouri Merchandising Practices Act (“MMPA”). </w:t>
      </w:r>
    </w:p>
    <w:p w:rsidR="006C14B3" w:rsidRDefault="006C14B3" w:rsidP="006C14B3">
      <w:pPr>
        <w:pStyle w:val="ListParagraph"/>
        <w:ind w:left="360"/>
        <w:rPr>
          <w:bCs/>
          <w:sz w:val="24"/>
          <w:szCs w:val="24"/>
        </w:rPr>
      </w:pPr>
    </w:p>
    <w:p w:rsidR="006C14B3" w:rsidRDefault="006C14B3" w:rsidP="006C14B3">
      <w:pPr>
        <w:pStyle w:val="ListParagraph"/>
        <w:numPr>
          <w:ilvl w:val="0"/>
          <w:numId w:val="1"/>
        </w:numPr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The MMPA is </w:t>
      </w:r>
      <w:r w:rsidRPr="00255CEC">
        <w:rPr>
          <w:b/>
          <w:sz w:val="24"/>
          <w:szCs w:val="24"/>
          <w:u w:val="single"/>
        </w:rPr>
        <w:t>geared towards curbing common abuses</w:t>
      </w:r>
      <w:r>
        <w:rPr>
          <w:bCs/>
          <w:sz w:val="24"/>
          <w:szCs w:val="24"/>
        </w:rPr>
        <w:t xml:space="preserve">—for example, </w:t>
      </w:r>
      <w:r w:rsidRPr="00E07F72">
        <w:rPr>
          <w:b/>
          <w:sz w:val="24"/>
          <w:szCs w:val="24"/>
          <w:u w:val="single"/>
        </w:rPr>
        <w:t>unlawful lending, failure to disclose fees, and selling automobiles under fraudulent terms</w:t>
      </w:r>
      <w:r>
        <w:rPr>
          <w:bCs/>
          <w:sz w:val="24"/>
          <w:szCs w:val="24"/>
        </w:rPr>
        <w:t xml:space="preserve">—that </w:t>
      </w:r>
      <w:r w:rsidRPr="00C974FC">
        <w:rPr>
          <w:bCs/>
          <w:i/>
          <w:iCs/>
          <w:sz w:val="24"/>
          <w:szCs w:val="24"/>
        </w:rPr>
        <w:t>actually</w:t>
      </w:r>
      <w:r>
        <w:rPr>
          <w:bCs/>
          <w:sz w:val="24"/>
          <w:szCs w:val="24"/>
        </w:rPr>
        <w:t xml:space="preserve"> cause a deadweight loss to the economy. The offenders behind such practices would have you believe that, if they could simply absolve themselves of accountability for such, then they would create more </w:t>
      </w:r>
      <w:r>
        <w:rPr>
          <w:bCs/>
          <w:i/>
          <w:iCs/>
          <w:sz w:val="24"/>
          <w:szCs w:val="24"/>
        </w:rPr>
        <w:t>jobs</w:t>
      </w:r>
      <w:r>
        <w:rPr>
          <w:bCs/>
          <w:sz w:val="24"/>
          <w:szCs w:val="24"/>
        </w:rPr>
        <w:t xml:space="preserve">—there is </w:t>
      </w:r>
      <w:r w:rsidRPr="00DD69F9">
        <w:rPr>
          <w:b/>
          <w:sz w:val="24"/>
          <w:szCs w:val="24"/>
          <w:u w:val="single"/>
        </w:rPr>
        <w:t>NO evidence</w:t>
      </w:r>
      <w:r>
        <w:rPr>
          <w:bCs/>
          <w:sz w:val="24"/>
          <w:szCs w:val="24"/>
        </w:rPr>
        <w:t xml:space="preserve"> of this. </w:t>
      </w:r>
    </w:p>
    <w:p w:rsidR="006C14B3" w:rsidRDefault="006C14B3" w:rsidP="006C14B3">
      <w:pPr>
        <w:pStyle w:val="ListParagraph"/>
        <w:ind w:left="360"/>
        <w:rPr>
          <w:bCs/>
          <w:sz w:val="24"/>
          <w:szCs w:val="24"/>
        </w:rPr>
      </w:pPr>
    </w:p>
    <w:p w:rsidR="006C14B3" w:rsidRPr="00DD69F9" w:rsidRDefault="006C14B3" w:rsidP="006C14B3">
      <w:pPr>
        <w:pStyle w:val="ListParagraph"/>
        <w:numPr>
          <w:ilvl w:val="0"/>
          <w:numId w:val="1"/>
        </w:numPr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SB 591 attempts to infuse the MMPA with constraining language that would both </w:t>
      </w:r>
      <w:r w:rsidRPr="008B7FB6">
        <w:rPr>
          <w:b/>
          <w:sz w:val="24"/>
          <w:szCs w:val="24"/>
          <w:u w:val="single"/>
        </w:rPr>
        <w:t>unduly hinder its efficacy and burden already disadvantaged groups</w:t>
      </w:r>
      <w:r>
        <w:rPr>
          <w:bCs/>
          <w:sz w:val="24"/>
          <w:szCs w:val="24"/>
        </w:rPr>
        <w:t xml:space="preserve"> (e.g., the elderly, the illiterate).</w:t>
      </w:r>
      <w:r>
        <w:rPr>
          <w:rStyle w:val="FootnoteReference"/>
          <w:bCs/>
          <w:sz w:val="24"/>
          <w:szCs w:val="24"/>
        </w:rPr>
        <w:footnoteReference w:id="1"/>
      </w:r>
    </w:p>
    <w:p w:rsidR="006C14B3" w:rsidRDefault="006C14B3" w:rsidP="006C14B3">
      <w:pPr>
        <w:pStyle w:val="ListParagraph"/>
        <w:ind w:left="360"/>
        <w:rPr>
          <w:bCs/>
          <w:sz w:val="24"/>
          <w:szCs w:val="24"/>
        </w:rPr>
      </w:pPr>
    </w:p>
    <w:p w:rsidR="006C14B3" w:rsidRPr="00045261" w:rsidRDefault="006C14B3" w:rsidP="006C14B3">
      <w:pPr>
        <w:pStyle w:val="ListParagraph"/>
        <w:numPr>
          <w:ilvl w:val="0"/>
          <w:numId w:val="1"/>
        </w:numPr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The heyday of consumer-protection litigation, as well as tort litigation generally,</w:t>
      </w:r>
      <w:r w:rsidRPr="00D02CF9">
        <w:rPr>
          <w:b/>
          <w:sz w:val="24"/>
          <w:szCs w:val="24"/>
          <w:u w:val="single"/>
        </w:rPr>
        <w:t xml:space="preserve"> actually occurred DECADES ago</w:t>
      </w:r>
      <w:r>
        <w:rPr>
          <w:bCs/>
          <w:sz w:val="24"/>
          <w:szCs w:val="24"/>
        </w:rPr>
        <w:t>. The reports cited by those behind SB 591 willfully ignore this fact.</w:t>
      </w:r>
      <w:r>
        <w:rPr>
          <w:rStyle w:val="FootnoteReference"/>
          <w:bCs/>
          <w:sz w:val="24"/>
          <w:szCs w:val="24"/>
        </w:rPr>
        <w:footnoteReference w:id="2"/>
      </w:r>
    </w:p>
    <w:p w:rsidR="006C14B3" w:rsidRDefault="006C14B3" w:rsidP="006C14B3">
      <w:pPr>
        <w:pStyle w:val="ListParagraph"/>
        <w:ind w:left="360"/>
        <w:rPr>
          <w:bCs/>
          <w:sz w:val="24"/>
          <w:szCs w:val="24"/>
        </w:rPr>
      </w:pPr>
    </w:p>
    <w:p w:rsidR="006C14B3" w:rsidRPr="00F44B63" w:rsidRDefault="006C14B3" w:rsidP="006C14B3">
      <w:pPr>
        <w:pStyle w:val="ListParagraph"/>
        <w:numPr>
          <w:ilvl w:val="0"/>
          <w:numId w:val="1"/>
        </w:numPr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Punitive damages in Missouri require a showing, backed by powerful evidence, that the underlying behavior was “outrageous” because of “</w:t>
      </w:r>
      <w:r w:rsidRPr="0004032E">
        <w:rPr>
          <w:b/>
          <w:sz w:val="24"/>
          <w:szCs w:val="24"/>
          <w:u w:val="single"/>
        </w:rPr>
        <w:t>evil motive or reckless indifference</w:t>
      </w:r>
      <w:r>
        <w:rPr>
          <w:bCs/>
          <w:sz w:val="24"/>
          <w:szCs w:val="24"/>
        </w:rPr>
        <w:t xml:space="preserve">.” One does not simply show up before a jury and implore them to award punitive damages—a convincing demonstration must be made that the defendant was a bad actor. </w:t>
      </w:r>
    </w:p>
    <w:p w:rsidR="006C14B3" w:rsidRDefault="006C14B3" w:rsidP="006C14B3">
      <w:pPr>
        <w:pStyle w:val="ListParagraph"/>
        <w:ind w:left="360"/>
        <w:rPr>
          <w:bCs/>
          <w:sz w:val="24"/>
          <w:szCs w:val="24"/>
        </w:rPr>
      </w:pPr>
    </w:p>
    <w:p w:rsidR="006C14B3" w:rsidRDefault="006C14B3" w:rsidP="006C14B3">
      <w:pPr>
        <w:pStyle w:val="ListParagraph"/>
        <w:numPr>
          <w:ilvl w:val="0"/>
          <w:numId w:val="1"/>
        </w:numPr>
        <w:ind w:left="360"/>
        <w:rPr>
          <w:bCs/>
          <w:sz w:val="24"/>
          <w:szCs w:val="24"/>
        </w:rPr>
      </w:pPr>
      <w:r w:rsidRPr="00EE4D9B">
        <w:rPr>
          <w:b/>
          <w:sz w:val="24"/>
          <w:szCs w:val="24"/>
          <w:u w:val="single"/>
        </w:rPr>
        <w:t>Ultimately, SB 591 is the brainchild of Washington lobbyists</w:t>
      </w:r>
      <w:r>
        <w:rPr>
          <w:bCs/>
          <w:sz w:val="24"/>
          <w:szCs w:val="24"/>
        </w:rPr>
        <w:t xml:space="preserve">—not ordinary Missourians. As has been typical with these efforts, those behind it cite large numbers produced by </w:t>
      </w:r>
      <w:r w:rsidRPr="00766171">
        <w:rPr>
          <w:b/>
          <w:sz w:val="24"/>
          <w:szCs w:val="24"/>
          <w:u w:val="single"/>
        </w:rPr>
        <w:t>completely unsubstantiated</w:t>
      </w:r>
      <w:r>
        <w:rPr>
          <w:bCs/>
          <w:sz w:val="24"/>
          <w:szCs w:val="24"/>
        </w:rPr>
        <w:t xml:space="preserve"> reports.</w:t>
      </w:r>
      <w:r>
        <w:rPr>
          <w:rStyle w:val="FootnoteReference"/>
          <w:bCs/>
          <w:sz w:val="24"/>
          <w:szCs w:val="24"/>
        </w:rPr>
        <w:footnoteReference w:id="3"/>
      </w:r>
      <w:r>
        <w:rPr>
          <w:bCs/>
          <w:sz w:val="24"/>
          <w:szCs w:val="24"/>
        </w:rPr>
        <w:t xml:space="preserve"> </w:t>
      </w:r>
    </w:p>
    <w:p w:rsidR="006C14B3" w:rsidRDefault="006C14B3" w:rsidP="006C14B3">
      <w:pPr>
        <w:pStyle w:val="ListParagraph"/>
        <w:ind w:left="360"/>
        <w:rPr>
          <w:bCs/>
          <w:sz w:val="24"/>
          <w:szCs w:val="24"/>
        </w:rPr>
      </w:pPr>
    </w:p>
    <w:p w:rsidR="006C14B3" w:rsidRDefault="006C14B3" w:rsidP="006C14B3">
      <w:pPr>
        <w:pStyle w:val="ListParagraph"/>
        <w:numPr>
          <w:ilvl w:val="0"/>
          <w:numId w:val="1"/>
        </w:numPr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At the root of SB 591 and similar bills are, in particular, the American Tort Reform Association (“ATRA”) and the U.S. Chamber Institute for Legal Reform (“ILR”). T</w:t>
      </w:r>
      <w:r w:rsidRPr="00CA0DCD">
        <w:rPr>
          <w:bCs/>
          <w:sz w:val="24"/>
          <w:szCs w:val="24"/>
        </w:rPr>
        <w:t xml:space="preserve">hese </w:t>
      </w:r>
      <w:r>
        <w:rPr>
          <w:bCs/>
          <w:sz w:val="24"/>
          <w:szCs w:val="24"/>
        </w:rPr>
        <w:t xml:space="preserve">are </w:t>
      </w:r>
      <w:r w:rsidRPr="00EE4D9B">
        <w:rPr>
          <w:b/>
          <w:sz w:val="24"/>
          <w:szCs w:val="24"/>
          <w:u w:val="single"/>
        </w:rPr>
        <w:t>professional lobbying organizations</w:t>
      </w:r>
      <w:r w:rsidRPr="00CA0DCD">
        <w:rPr>
          <w:bCs/>
          <w:sz w:val="24"/>
          <w:szCs w:val="24"/>
        </w:rPr>
        <w:t xml:space="preserve"> working at the behest of </w:t>
      </w:r>
      <w:r w:rsidRPr="00CA0DCD">
        <w:rPr>
          <w:b/>
          <w:sz w:val="24"/>
          <w:szCs w:val="24"/>
          <w:u w:val="single"/>
        </w:rPr>
        <w:t>large insurance and corporate defense firms</w:t>
      </w:r>
      <w:r w:rsidRPr="00CA0DCD">
        <w:rPr>
          <w:bCs/>
          <w:sz w:val="24"/>
          <w:szCs w:val="24"/>
        </w:rPr>
        <w:t xml:space="preserve">. </w:t>
      </w:r>
    </w:p>
    <w:p w:rsidR="006C14B3" w:rsidRDefault="006C14B3" w:rsidP="006C14B3">
      <w:pPr>
        <w:pStyle w:val="ListParagraph"/>
        <w:ind w:left="360"/>
        <w:rPr>
          <w:bCs/>
          <w:sz w:val="24"/>
          <w:szCs w:val="24"/>
        </w:rPr>
      </w:pPr>
    </w:p>
    <w:p w:rsidR="006C14B3" w:rsidRPr="00CA0DCD" w:rsidRDefault="006C14B3" w:rsidP="006C14B3">
      <w:pPr>
        <w:pStyle w:val="ListParagraph"/>
        <w:numPr>
          <w:ilvl w:val="0"/>
          <w:numId w:val="1"/>
        </w:numPr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Generally, the studies and conclusions proffered by these “non-partisan” lobbyists suffer from an obvious logical flaw: they presume that upward variations in tort costs (which have </w:t>
      </w:r>
      <w:r>
        <w:rPr>
          <w:bCs/>
          <w:sz w:val="24"/>
          <w:szCs w:val="24"/>
        </w:rPr>
        <w:lastRenderedPageBreak/>
        <w:t xml:space="preserve">actually slowed, even decreased, in aggregate over the decades </w:t>
      </w:r>
      <w:r>
        <w:rPr>
          <w:bCs/>
          <w:i/>
          <w:iCs/>
          <w:sz w:val="24"/>
          <w:szCs w:val="24"/>
        </w:rPr>
        <w:t>as a percentage of GDP</w:t>
      </w:r>
      <w:r>
        <w:rPr>
          <w:bCs/>
          <w:sz w:val="24"/>
          <w:szCs w:val="24"/>
        </w:rPr>
        <w:t xml:space="preserve">) are not a result of marginally increasing bad behavior by defendants but rather some flaw in the legal frameworks that have generally been in place for </w:t>
      </w:r>
      <w:r w:rsidRPr="00AA1626">
        <w:rPr>
          <w:bCs/>
          <w:i/>
          <w:iCs/>
          <w:sz w:val="24"/>
          <w:szCs w:val="24"/>
          <w:u w:val="single"/>
        </w:rPr>
        <w:t>decades</w:t>
      </w:r>
      <w:r>
        <w:rPr>
          <w:bCs/>
          <w:sz w:val="24"/>
          <w:szCs w:val="24"/>
        </w:rPr>
        <w:t xml:space="preserve">. </w:t>
      </w:r>
    </w:p>
    <w:p w:rsidR="006C14B3" w:rsidRDefault="006C14B3" w:rsidP="006C14B3">
      <w:pPr>
        <w:rPr>
          <w:bCs/>
          <w:sz w:val="24"/>
          <w:szCs w:val="24"/>
        </w:rPr>
      </w:pPr>
    </w:p>
    <w:p w:rsidR="006C14B3" w:rsidRPr="00AA1626" w:rsidRDefault="006C14B3" w:rsidP="006C14B3">
      <w:pPr>
        <w:ind w:firstLine="720"/>
        <w:jc w:val="center"/>
        <w:rPr>
          <w:bCs/>
          <w:sz w:val="24"/>
          <w:szCs w:val="24"/>
        </w:rPr>
      </w:pPr>
      <w:r w:rsidRPr="00AA1626">
        <w:rPr>
          <w:bCs/>
          <w:sz w:val="24"/>
          <w:szCs w:val="24"/>
          <w:u w:val="single"/>
        </w:rPr>
        <w:t>Even according to the ILR</w:t>
      </w:r>
      <w:r w:rsidRPr="00AA1626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>a right-wing</w:t>
      </w:r>
      <w:r w:rsidRPr="00AA1626">
        <w:rPr>
          <w:bCs/>
          <w:sz w:val="24"/>
          <w:szCs w:val="24"/>
        </w:rPr>
        <w:t xml:space="preserve"> lobbying organization, Missouri’s tort costs are actually middle-of-the-road. The states with the highest tort costs as a percentage of GDP </w:t>
      </w:r>
      <w:r w:rsidRPr="00AA1626">
        <w:rPr>
          <w:bCs/>
          <w:i/>
          <w:iCs/>
          <w:sz w:val="24"/>
          <w:szCs w:val="24"/>
        </w:rPr>
        <w:t xml:space="preserve">included Montana, Idaho, </w:t>
      </w:r>
      <w:r>
        <w:rPr>
          <w:bCs/>
          <w:i/>
          <w:iCs/>
          <w:sz w:val="24"/>
          <w:szCs w:val="24"/>
        </w:rPr>
        <w:t xml:space="preserve">Louisiana, Mississippi, </w:t>
      </w:r>
      <w:r w:rsidRPr="00AA1626">
        <w:rPr>
          <w:bCs/>
          <w:i/>
          <w:iCs/>
          <w:sz w:val="24"/>
          <w:szCs w:val="24"/>
        </w:rPr>
        <w:t>and West Virginia</w:t>
      </w:r>
      <w:r w:rsidRPr="00AA1626">
        <w:rPr>
          <w:bCs/>
          <w:sz w:val="24"/>
          <w:szCs w:val="24"/>
        </w:rPr>
        <w:t xml:space="preserve">, none of which is known as a plaintiff-friendly venue. The lobbyists behind SB 591 have simply </w:t>
      </w:r>
      <w:r w:rsidRPr="00AA1626">
        <w:rPr>
          <w:b/>
          <w:sz w:val="24"/>
          <w:szCs w:val="24"/>
          <w:u w:val="single"/>
        </w:rPr>
        <w:t>manufactured a sense of tort crisis in Missouri at the behest of large corporations</w:t>
      </w:r>
      <w:r w:rsidRPr="00AA1626">
        <w:rPr>
          <w:bCs/>
          <w:sz w:val="24"/>
          <w:szCs w:val="24"/>
        </w:rPr>
        <w:t>:</w:t>
      </w:r>
      <w:r w:rsidRPr="00AA1626">
        <w:rPr>
          <w:rStyle w:val="FootnoteReference"/>
          <w:bCs/>
          <w:sz w:val="24"/>
          <w:szCs w:val="24"/>
        </w:rPr>
        <w:footnoteReference w:id="4"/>
      </w:r>
    </w:p>
    <w:p w:rsidR="006C14B3" w:rsidRDefault="006C14B3" w:rsidP="006C14B3">
      <w:pPr>
        <w:ind w:firstLine="720"/>
        <w:jc w:val="center"/>
        <w:rPr>
          <w:bCs/>
          <w:sz w:val="28"/>
          <w:szCs w:val="28"/>
        </w:rPr>
      </w:pPr>
    </w:p>
    <w:p w:rsidR="006C14B3" w:rsidRPr="00002251" w:rsidRDefault="006C14B3" w:rsidP="006C14B3">
      <w:pPr>
        <w:jc w:val="center"/>
        <w:rPr>
          <w:b/>
          <w:sz w:val="28"/>
          <w:szCs w:val="28"/>
          <w:u w:val="single"/>
        </w:rPr>
      </w:pPr>
      <w:r w:rsidRPr="00002251">
        <w:rPr>
          <w:b/>
          <w:sz w:val="28"/>
          <w:szCs w:val="28"/>
          <w:u w:val="single"/>
        </w:rPr>
        <w:t>WHY MISSOURI?</w:t>
      </w:r>
    </w:p>
    <w:p w:rsidR="006C14B3" w:rsidRPr="00DD69F9" w:rsidRDefault="006C14B3" w:rsidP="006C14B3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 wp14:anchorId="18F16B99" wp14:editId="00B9945E">
            <wp:extent cx="5943600" cy="4583151"/>
            <wp:effectExtent l="0" t="0" r="0" b="1905"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09 at 10.09.45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509" cy="458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69F9">
        <w:rPr>
          <w:bCs/>
          <w:sz w:val="28"/>
          <w:szCs w:val="28"/>
        </w:rPr>
        <w:br w:type="page"/>
      </w:r>
    </w:p>
    <w:p w:rsidR="00F03FDA" w:rsidRPr="00FC5780" w:rsidRDefault="006C14B3" w:rsidP="00FC5780">
      <w:pPr>
        <w:spacing w:line="480" w:lineRule="auto"/>
        <w:jc w:val="both"/>
        <w:rPr>
          <w:bCs/>
          <w:sz w:val="24"/>
          <w:szCs w:val="24"/>
        </w:rPr>
      </w:pPr>
      <w:r w:rsidRPr="001E2598">
        <w:rPr>
          <w:bCs/>
          <w:sz w:val="24"/>
          <w:szCs w:val="24"/>
        </w:rPr>
        <w:lastRenderedPageBreak/>
        <w:t>Here</w:t>
      </w:r>
      <w:r>
        <w:rPr>
          <w:bCs/>
          <w:sz w:val="24"/>
          <w:szCs w:val="24"/>
        </w:rPr>
        <w:t xml:space="preserve"> is a somewhat dated but useful overview graphic from a study, performed by ostensibly neutral consulting firm Towers Watson</w:t>
      </w:r>
      <w:r w:rsidR="00FC5780">
        <w:rPr>
          <w:bCs/>
          <w:sz w:val="24"/>
          <w:szCs w:val="24"/>
        </w:rPr>
        <w:t xml:space="preserve">. </w:t>
      </w:r>
      <w:r>
        <w:rPr>
          <w:bCs/>
          <w:sz w:val="24"/>
          <w:szCs w:val="24"/>
        </w:rPr>
        <w:t xml:space="preserve">According to the Towers Watson study, national tort costs, as a percentage of GDP, </w:t>
      </w:r>
      <w:r w:rsidRPr="00726225">
        <w:rPr>
          <w:b/>
          <w:i/>
          <w:iCs/>
          <w:sz w:val="24"/>
          <w:szCs w:val="24"/>
        </w:rPr>
        <w:t xml:space="preserve">have been </w:t>
      </w:r>
      <w:r w:rsidRPr="00726225">
        <w:rPr>
          <w:b/>
          <w:i/>
          <w:iCs/>
          <w:sz w:val="24"/>
          <w:szCs w:val="24"/>
          <w:u w:val="single"/>
        </w:rPr>
        <w:t>decreasing</w:t>
      </w:r>
      <w:r w:rsidRPr="00726225">
        <w:rPr>
          <w:b/>
          <w:i/>
          <w:iCs/>
          <w:sz w:val="24"/>
          <w:szCs w:val="24"/>
        </w:rPr>
        <w:t xml:space="preserve"> at the margin since 2002 and, more definitively, since the 1980s generally</w:t>
      </w:r>
      <w:r>
        <w:rPr>
          <w:bCs/>
          <w:sz w:val="24"/>
          <w:szCs w:val="24"/>
        </w:rPr>
        <w:t>:</w:t>
      </w:r>
      <w:r>
        <w:rPr>
          <w:rStyle w:val="FootnoteReference"/>
          <w:bCs/>
          <w:sz w:val="24"/>
          <w:szCs w:val="24"/>
        </w:rPr>
        <w:footnoteReference w:id="5"/>
      </w:r>
    </w:p>
    <w:p w:rsidR="006C14B3" w:rsidRDefault="006C14B3"/>
    <w:p w:rsidR="006C14B3" w:rsidRDefault="006C14B3"/>
    <w:p w:rsidR="00FC5780" w:rsidRDefault="006C14B3" w:rsidP="006C14B3">
      <w:pPr>
        <w:jc w:val="center"/>
        <w:rPr>
          <w:b/>
          <w:sz w:val="28"/>
          <w:szCs w:val="28"/>
          <w:u w:val="single"/>
        </w:rPr>
      </w:pPr>
      <w:r w:rsidRPr="005E4BF7">
        <w:rPr>
          <w:b/>
          <w:sz w:val="28"/>
          <w:szCs w:val="28"/>
          <w:u w:val="single"/>
        </w:rPr>
        <w:t xml:space="preserve">National Tort Costs Have Actually Been </w:t>
      </w:r>
      <w:r w:rsidRPr="005E4BF7">
        <w:rPr>
          <w:b/>
          <w:i/>
          <w:iCs/>
          <w:sz w:val="28"/>
          <w:szCs w:val="28"/>
          <w:u w:val="single"/>
        </w:rPr>
        <w:t>Declining</w:t>
      </w:r>
      <w:r>
        <w:rPr>
          <w:b/>
          <w:sz w:val="28"/>
          <w:szCs w:val="28"/>
          <w:u w:val="single"/>
        </w:rPr>
        <w:t xml:space="preserve"> </w:t>
      </w:r>
    </w:p>
    <w:p w:rsidR="006C14B3" w:rsidRPr="006C14B3" w:rsidRDefault="006C14B3" w:rsidP="006C14B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Relative to GDP</w:t>
      </w:r>
      <w:r w:rsidR="00FC5780">
        <w:rPr>
          <w:b/>
          <w:sz w:val="28"/>
          <w:szCs w:val="28"/>
          <w:u w:val="single"/>
        </w:rPr>
        <w:t xml:space="preserve"> Over Time</w:t>
      </w:r>
      <w:r w:rsidRPr="005E4BF7">
        <w:rPr>
          <w:b/>
          <w:sz w:val="28"/>
          <w:szCs w:val="28"/>
          <w:u w:val="single"/>
        </w:rPr>
        <w:t>!</w:t>
      </w:r>
    </w:p>
    <w:p w:rsidR="006C14B3" w:rsidRDefault="006C14B3">
      <w:r>
        <w:rPr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D530998" wp14:editId="25A40AED">
            <wp:simplePos x="0" y="0"/>
            <wp:positionH relativeFrom="column">
              <wp:align>center</wp:align>
            </wp:positionH>
            <wp:positionV relativeFrom="paragraph">
              <wp:posOffset>144145</wp:posOffset>
            </wp:positionV>
            <wp:extent cx="6620256" cy="3593592"/>
            <wp:effectExtent l="0" t="0" r="0" b="635"/>
            <wp:wrapTopAndBottom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07 at 3.13.1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14B3" w:rsidSect="000F2A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3D8B" w:rsidRDefault="00D83D8B" w:rsidP="006C14B3">
      <w:r>
        <w:separator/>
      </w:r>
    </w:p>
  </w:endnote>
  <w:endnote w:type="continuationSeparator" w:id="0">
    <w:p w:rsidR="00D83D8B" w:rsidRDefault="00D83D8B" w:rsidP="006C1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3D8B" w:rsidRDefault="00D83D8B" w:rsidP="006C14B3">
      <w:r>
        <w:separator/>
      </w:r>
    </w:p>
  </w:footnote>
  <w:footnote w:type="continuationSeparator" w:id="0">
    <w:p w:rsidR="00D83D8B" w:rsidRDefault="00D83D8B" w:rsidP="006C14B3">
      <w:r>
        <w:continuationSeparator/>
      </w:r>
    </w:p>
  </w:footnote>
  <w:footnote w:id="1">
    <w:p w:rsidR="006C14B3" w:rsidRPr="008B7FB6" w:rsidRDefault="006C14B3" w:rsidP="006C14B3">
      <w:pPr>
        <w:pStyle w:val="FootnoteText"/>
        <w:rPr>
          <w:sz w:val="24"/>
          <w:szCs w:val="24"/>
        </w:rPr>
      </w:pPr>
      <w:r w:rsidRPr="008B7FB6">
        <w:rPr>
          <w:rStyle w:val="FootnoteReference"/>
          <w:sz w:val="24"/>
          <w:szCs w:val="24"/>
        </w:rPr>
        <w:footnoteRef/>
      </w:r>
      <w:r w:rsidRPr="008B7FB6">
        <w:rPr>
          <w:sz w:val="24"/>
          <w:szCs w:val="24"/>
        </w:rPr>
        <w:t xml:space="preserve"> </w:t>
      </w:r>
      <w:r w:rsidRPr="008B7FB6">
        <w:rPr>
          <w:i/>
          <w:iCs/>
          <w:sz w:val="24"/>
          <w:szCs w:val="24"/>
        </w:rPr>
        <w:t>E.g.</w:t>
      </w:r>
      <w:r w:rsidRPr="008B7FB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proving “reliance” would be both very difficult and inapposite in many consumer scenarios.  </w:t>
      </w:r>
    </w:p>
  </w:footnote>
  <w:footnote w:id="2">
    <w:p w:rsidR="006C14B3" w:rsidRPr="008B7FB6" w:rsidRDefault="006C14B3" w:rsidP="006C14B3">
      <w:pPr>
        <w:pStyle w:val="FootnoteText"/>
        <w:rPr>
          <w:sz w:val="24"/>
          <w:szCs w:val="24"/>
        </w:rPr>
      </w:pPr>
      <w:r w:rsidRPr="008B7FB6">
        <w:rPr>
          <w:rStyle w:val="FootnoteReference"/>
          <w:sz w:val="24"/>
          <w:szCs w:val="24"/>
        </w:rPr>
        <w:footnoteRef/>
      </w:r>
      <w:r w:rsidRPr="008B7FB6">
        <w:rPr>
          <w:sz w:val="24"/>
          <w:szCs w:val="24"/>
        </w:rPr>
        <w:t xml:space="preserve"> </w:t>
      </w:r>
      <w:r w:rsidRPr="008B7FB6">
        <w:rPr>
          <w:i/>
          <w:iCs/>
          <w:sz w:val="24"/>
          <w:szCs w:val="24"/>
        </w:rPr>
        <w:t>See, in particular</w:t>
      </w:r>
      <w:r w:rsidRPr="008B7FB6">
        <w:rPr>
          <w:sz w:val="24"/>
          <w:szCs w:val="24"/>
        </w:rPr>
        <w:t xml:space="preserve">, Joanna Shepherd’s ATRA report and the Perryman </w:t>
      </w:r>
      <w:r w:rsidR="00FC5780">
        <w:rPr>
          <w:sz w:val="24"/>
          <w:szCs w:val="24"/>
        </w:rPr>
        <w:t>R</w:t>
      </w:r>
      <w:r w:rsidRPr="008B7FB6">
        <w:rPr>
          <w:sz w:val="24"/>
          <w:szCs w:val="24"/>
        </w:rPr>
        <w:t xml:space="preserve">eport discussed </w:t>
      </w:r>
      <w:r w:rsidRPr="008B7FB6">
        <w:rPr>
          <w:i/>
          <w:iCs/>
          <w:sz w:val="24"/>
          <w:szCs w:val="24"/>
        </w:rPr>
        <w:t>infra</w:t>
      </w:r>
      <w:r w:rsidR="00FC5780">
        <w:rPr>
          <w:sz w:val="24"/>
          <w:szCs w:val="24"/>
        </w:rPr>
        <w:t xml:space="preserve"> in </w:t>
      </w:r>
      <w:r w:rsidR="00FC5780" w:rsidRPr="00FC5780">
        <w:rPr>
          <w:b/>
          <w:bCs/>
          <w:sz w:val="24"/>
          <w:szCs w:val="24"/>
          <w:u w:val="single"/>
        </w:rPr>
        <w:t>Appendix A</w:t>
      </w:r>
      <w:r w:rsidR="00FC5780">
        <w:rPr>
          <w:sz w:val="24"/>
          <w:szCs w:val="24"/>
        </w:rPr>
        <w:t xml:space="preserve">. </w:t>
      </w:r>
      <w:bookmarkStart w:id="0" w:name="_GoBack"/>
      <w:bookmarkEnd w:id="0"/>
    </w:p>
  </w:footnote>
  <w:footnote w:id="3">
    <w:p w:rsidR="006C14B3" w:rsidRPr="008B7FB6" w:rsidRDefault="006C14B3" w:rsidP="006C14B3">
      <w:pPr>
        <w:pStyle w:val="FootnoteText"/>
        <w:rPr>
          <w:sz w:val="24"/>
          <w:szCs w:val="24"/>
        </w:rPr>
      </w:pPr>
      <w:r w:rsidRPr="008B7FB6">
        <w:rPr>
          <w:rStyle w:val="FootnoteReference"/>
          <w:sz w:val="24"/>
          <w:szCs w:val="24"/>
        </w:rPr>
        <w:footnoteRef/>
      </w:r>
      <w:r w:rsidRPr="008B7FB6">
        <w:rPr>
          <w:sz w:val="24"/>
          <w:szCs w:val="24"/>
        </w:rPr>
        <w:t xml:space="preserve"> </w:t>
      </w:r>
      <w:r w:rsidRPr="008B7FB6">
        <w:rPr>
          <w:i/>
          <w:iCs/>
          <w:sz w:val="24"/>
          <w:szCs w:val="24"/>
        </w:rPr>
        <w:t>See, in particular</w:t>
      </w:r>
      <w:r w:rsidRPr="008B7FB6">
        <w:rPr>
          <w:sz w:val="24"/>
          <w:szCs w:val="24"/>
        </w:rPr>
        <w:t xml:space="preserve">, the analysis of the Perryman </w:t>
      </w:r>
      <w:r w:rsidR="00FC5780">
        <w:rPr>
          <w:sz w:val="24"/>
          <w:szCs w:val="24"/>
        </w:rPr>
        <w:t>R</w:t>
      </w:r>
      <w:r w:rsidRPr="008B7FB6">
        <w:rPr>
          <w:sz w:val="24"/>
          <w:szCs w:val="24"/>
        </w:rPr>
        <w:t>eport</w:t>
      </w:r>
      <w:r w:rsidR="00FC5780">
        <w:rPr>
          <w:sz w:val="24"/>
          <w:szCs w:val="24"/>
        </w:rPr>
        <w:t xml:space="preserve">, which </w:t>
      </w:r>
      <w:r w:rsidRPr="008B7FB6">
        <w:rPr>
          <w:sz w:val="24"/>
          <w:szCs w:val="24"/>
        </w:rPr>
        <w:t xml:space="preserve">is inaccurate, irresponsible, and </w:t>
      </w:r>
      <w:r>
        <w:rPr>
          <w:sz w:val="24"/>
          <w:szCs w:val="24"/>
        </w:rPr>
        <w:t>simply</w:t>
      </w:r>
      <w:r w:rsidRPr="008B7FB6">
        <w:rPr>
          <w:sz w:val="24"/>
          <w:szCs w:val="24"/>
        </w:rPr>
        <w:t xml:space="preserve"> paid-for propaganda. </w:t>
      </w:r>
    </w:p>
    <w:p w:rsidR="006C14B3" w:rsidRDefault="006C14B3" w:rsidP="006C14B3">
      <w:pPr>
        <w:pStyle w:val="FootnoteText"/>
        <w:rPr>
          <w:sz w:val="24"/>
          <w:szCs w:val="24"/>
        </w:rPr>
      </w:pPr>
    </w:p>
    <w:p w:rsidR="006C14B3" w:rsidRPr="00E05AC4" w:rsidRDefault="006C14B3" w:rsidP="006C14B3">
      <w:pPr>
        <w:pStyle w:val="FootnoteText"/>
        <w:rPr>
          <w:sz w:val="24"/>
          <w:szCs w:val="24"/>
        </w:rPr>
      </w:pPr>
    </w:p>
  </w:footnote>
  <w:footnote w:id="4">
    <w:p w:rsidR="006C14B3" w:rsidRPr="00AE6698" w:rsidRDefault="006C14B3" w:rsidP="006C14B3">
      <w:pPr>
        <w:pStyle w:val="FootnoteText"/>
        <w:rPr>
          <w:sz w:val="24"/>
          <w:szCs w:val="24"/>
        </w:rPr>
      </w:pPr>
      <w:r w:rsidRPr="00AE6698">
        <w:rPr>
          <w:rStyle w:val="FootnoteReference"/>
          <w:sz w:val="24"/>
          <w:szCs w:val="24"/>
        </w:rPr>
        <w:footnoteRef/>
      </w:r>
      <w:r w:rsidRPr="00AE6698">
        <w:rPr>
          <w:sz w:val="24"/>
          <w:szCs w:val="24"/>
        </w:rPr>
        <w:t xml:space="preserve"> This graphic is but one graph taken from a far more comprehensive study. It can be found, </w:t>
      </w:r>
      <w:r w:rsidRPr="00AE6698">
        <w:rPr>
          <w:i/>
          <w:iCs/>
          <w:sz w:val="24"/>
          <w:szCs w:val="24"/>
        </w:rPr>
        <w:t>e.g</w:t>
      </w:r>
      <w:r w:rsidRPr="00AE6698">
        <w:rPr>
          <w:sz w:val="24"/>
          <w:szCs w:val="24"/>
        </w:rPr>
        <w:t xml:space="preserve">., at </w:t>
      </w:r>
      <w:r w:rsidRPr="00AE6698">
        <w:rPr>
          <w:smallCaps/>
          <w:sz w:val="24"/>
          <w:szCs w:val="24"/>
        </w:rPr>
        <w:t>Law.com</w:t>
      </w:r>
      <w:r w:rsidRPr="00AE6698">
        <w:rPr>
          <w:sz w:val="24"/>
          <w:szCs w:val="24"/>
        </w:rPr>
        <w:t>, https://www.law.com/2018/10/25/us-tort-system-costs-429b-but-plaintiffs-get-just-57-percent-of-that-report-says/ (last visited Mar. 9, 2020).</w:t>
      </w:r>
      <w:r>
        <w:rPr>
          <w:sz w:val="24"/>
          <w:szCs w:val="24"/>
        </w:rPr>
        <w:t xml:space="preserve"> The underlying data were reportedly from 2016. </w:t>
      </w:r>
    </w:p>
  </w:footnote>
  <w:footnote w:id="5">
    <w:p w:rsidR="006C14B3" w:rsidRPr="00726225" w:rsidRDefault="006C14B3" w:rsidP="006C14B3">
      <w:pPr>
        <w:pStyle w:val="FootnoteText"/>
        <w:rPr>
          <w:sz w:val="24"/>
          <w:szCs w:val="24"/>
        </w:rPr>
      </w:pPr>
      <w:r w:rsidRPr="00726225">
        <w:rPr>
          <w:rStyle w:val="FootnoteReference"/>
          <w:sz w:val="24"/>
          <w:szCs w:val="24"/>
        </w:rPr>
        <w:footnoteRef/>
      </w:r>
      <w:r w:rsidRPr="00726225">
        <w:rPr>
          <w:sz w:val="24"/>
          <w:szCs w:val="24"/>
        </w:rPr>
        <w:t xml:space="preserve"> </w:t>
      </w:r>
      <w:r w:rsidRPr="00726225">
        <w:rPr>
          <w:smallCaps/>
          <w:sz w:val="24"/>
          <w:szCs w:val="24"/>
        </w:rPr>
        <w:t>Towers Watson</w:t>
      </w:r>
      <w:r w:rsidRPr="00726225">
        <w:rPr>
          <w:sz w:val="24"/>
          <w:szCs w:val="24"/>
        </w:rPr>
        <w:t xml:space="preserve">, </w:t>
      </w:r>
      <w:r w:rsidRPr="00726225">
        <w:rPr>
          <w:i/>
          <w:iCs/>
          <w:sz w:val="24"/>
          <w:szCs w:val="24"/>
        </w:rPr>
        <w:t>U.S. Tort Cost Trends (2011 Update)</w:t>
      </w:r>
      <w:r w:rsidRPr="00726225">
        <w:rPr>
          <w:sz w:val="24"/>
          <w:szCs w:val="24"/>
        </w:rPr>
        <w:t xml:space="preserve">, at 3. </w:t>
      </w:r>
      <w:r w:rsidRPr="00726225">
        <w:rPr>
          <w:i/>
          <w:iCs/>
          <w:sz w:val="24"/>
          <w:szCs w:val="24"/>
        </w:rPr>
        <w:t>Available at</w:t>
      </w:r>
      <w:r w:rsidRPr="00726225">
        <w:rPr>
          <w:sz w:val="24"/>
          <w:szCs w:val="24"/>
        </w:rPr>
        <w:t xml:space="preserve"> https://www.casact.org/library/studynotes/Towers-Watson-Tort-Cost-Trends.pdf (last visited Mar. 9, 2020). </w:t>
      </w:r>
      <w:r>
        <w:rPr>
          <w:sz w:val="24"/>
          <w:szCs w:val="24"/>
        </w:rPr>
        <w:t xml:space="preserve">The author maintains that more recent data are desirable but this graphic is nonetheless useful in depicting how disingenuous various actors have been in manufacturing a sense of tort-cost crisis.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ED0D61"/>
    <w:multiLevelType w:val="hybridMultilevel"/>
    <w:tmpl w:val="3A0A0D7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B3"/>
    <w:rsid w:val="000F2A2D"/>
    <w:rsid w:val="00154E10"/>
    <w:rsid w:val="006C14B3"/>
    <w:rsid w:val="006C569B"/>
    <w:rsid w:val="00D83D8B"/>
    <w:rsid w:val="00F03FDA"/>
    <w:rsid w:val="00FC5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4D4E49"/>
  <w14:defaultImageDpi w14:val="32767"/>
  <w15:chartTrackingRefBased/>
  <w15:docId w15:val="{AC75747E-2D8E-2A4E-98D5-D8B572AED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C14B3"/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6C569B"/>
  </w:style>
  <w:style w:type="character" w:customStyle="1" w:styleId="FootnoteTextChar">
    <w:name w:val="Footnote Text Char"/>
    <w:basedOn w:val="DefaultParagraphFont"/>
    <w:link w:val="FootnoteText"/>
    <w:uiPriority w:val="99"/>
    <w:rsid w:val="006C569B"/>
  </w:style>
  <w:style w:type="character" w:styleId="FootnoteReference">
    <w:name w:val="footnote reference"/>
    <w:basedOn w:val="DefaultParagraphFont"/>
    <w:uiPriority w:val="99"/>
    <w:semiHidden/>
    <w:unhideWhenUsed/>
    <w:rsid w:val="006C14B3"/>
    <w:rPr>
      <w:vertAlign w:val="superscript"/>
    </w:rPr>
  </w:style>
  <w:style w:type="paragraph" w:styleId="ListParagraph">
    <w:name w:val="List Paragraph"/>
    <w:basedOn w:val="Normal"/>
    <w:uiPriority w:val="34"/>
    <w:qFormat/>
    <w:rsid w:val="006C14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473</Words>
  <Characters>2701</Characters>
  <Application>Microsoft Office Word</Application>
  <DocSecurity>0</DocSecurity>
  <Lines>22</Lines>
  <Paragraphs>6</Paragraphs>
  <ScaleCrop>false</ScaleCrop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Taylor</dc:creator>
  <cp:keywords/>
  <dc:description/>
  <cp:lastModifiedBy>Andrew Taylor</cp:lastModifiedBy>
  <cp:revision>2</cp:revision>
  <dcterms:created xsi:type="dcterms:W3CDTF">2020-03-09T21:13:00Z</dcterms:created>
  <dcterms:modified xsi:type="dcterms:W3CDTF">2020-03-10T02:17:00Z</dcterms:modified>
</cp:coreProperties>
</file>